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bis zur Erteilung einer USt-IdNr. wird die Steuernummer auf der Rechnung ausgewiesen.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Einrichtungs-/Setup-Gebühr</w:t>
      </w:r>
      <w:r>
        <w:rPr>
          <w:rFonts w:ascii="Arial" w:cs="Arial" w:eastAsia="Arial" w:hAnsi="Arial"/>
          <w:b w:val="false"/>
          <w:bCs w:val="false"/>
          <w:i w:val="false"/>
          <w:iCs w:val="false"/>
          <w:color w:val="1A1A1A"/>
          <w:sz w:val="21"/>
          <w:szCs w:val="21"/>
        </w:rPr>
        <w:t xml:space="preserve"> erhoben. Geschuldet ist ausschließlich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Rahmen-Dienstleistungsvertrag für KI- und Automatisierungslösungen (B2B)</dc:title>
  <dc:creator>NexAI</dc:creator>
  <cp:lastModifiedBy>Un-named</cp:lastModifiedBy>
  <cp:revision>1</cp:revision>
  <dcterms:created xsi:type="dcterms:W3CDTF">2026-09-07T18:53:58.188Z</dcterms:created>
  <dcterms:modified xsi:type="dcterms:W3CDTF">2026-09-07T18:53:58.189Z</dcterms:modified>
</cp:coreProperties>
</file>

<file path=docProps/custom.xml><?xml version="1.0" encoding="utf-8"?>
<Properties xmlns="http://schemas.openxmlformats.org/officeDocument/2006/custom-properties" xmlns:vt="http://schemas.openxmlformats.org/officeDocument/2006/docPropsVTypes"/>
</file>