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Individualabrede zum Rahmenvertrag über KI-Agenten und digitale Assistenten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und stellt eine </w:t>
      </w:r>
      <w:r>
        <w:rPr>
          <w:rFonts w:ascii="Arial" w:cs="Arial" w:eastAsia="Arial" w:hAnsi="Arial"/>
          <w:b/>
          <w:bCs/>
          <w:i w:val="false"/>
          <w:iCs w:val="false"/>
          <w:color w:val="1A1A1A"/>
          <w:sz w:val="21"/>
          <w:szCs w:val="21"/>
        </w:rPr>
        <w:t xml:space="preserve">Individualabrede</w:t>
      </w:r>
      <w:r>
        <w:rPr>
          <w:rFonts w:ascii="Arial" w:cs="Arial" w:eastAsia="Arial" w:hAnsi="Arial"/>
          <w:b w:val="false"/>
          <w:bCs w:val="false"/>
          <w:i w:val="false"/>
          <w:iCs w:val="false"/>
          <w:color w:val="1A1A1A"/>
          <w:sz w:val="21"/>
          <w:szCs w:val="21"/>
        </w:rPr>
        <w:t xml:space="preserve"> dar. Bei Widersprüchen zwischen diesem Leistungsschein, dem Rahmenvertrag, den Anlagen und den AGB (B2B) gilt die im Rahmenvertrag festgelegte Rangfolge. Die in diesem Leistungsschein getroffenen individuellen Vereinbarungen gehen den AGB (B2B) als Individualabrede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die Bereitstellung und den Betrieb von KI-Agenten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und D (Abnahmeprotokoll)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 und/oder ausgehende Gespräche)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w:t>
      </w:r>
      <w:r>
        <w:rPr>
          <w:rFonts w:ascii="Arial" w:cs="Arial" w:eastAsia="Arial" w:hAnsi="Arial"/>
          <w:b w:val="false"/>
          <w:bCs w:val="false"/>
          <w:i w:val="false"/>
          <w:iCs w:val="false"/>
          <w:color w:val="1A1A1A"/>
          <w:sz w:val="21"/>
          <w:szCs w:val="21"/>
        </w:rPr>
        <w:t xml:space="preserve"> (Kundensystem: Kontakte, Anfragen, Termine, Aufgaben, Berichte)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CRM, NexAI Kalender, NexAI App;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Betriebsleistungen dem Dienstvertragsrecht. Setzt der Kunde einen Agenten für ausgehende Ansprache oder Direktwerbung ein, gelten die besonderen Compliance-Zusicherungen des Kunden nach dem Rahmenvertrag (zulässige Ansprache nach § 7 UWG, Informationspflichten nach Art. 14 DSGVO, Opt-out-Dokumentation).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ist der verbindliche Einsatzzweck festzulegen. Der Kunde bestätigt für jeden Agenten,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Agenten ausschließlich für die angegebenen Zwecke eingesetzt werden. NexAI ist für die Bereitstellung und den Betrieb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als bestimmungsgemäßer Einsetzender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die Betreiberpflichten (u. a. zweckkonforme Verwendung, menschliche Aufsicht) obliegen dem Kunden.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der Agenten wird </w:t>
      </w:r>
      <w:r>
        <w:rPr>
          <w:rFonts w:ascii="Arial" w:cs="Arial" w:eastAsia="Arial" w:hAnsi="Arial"/>
          <w:b/>
          <w:bCs/>
          <w:i w:val="false"/>
          <w:iCs w:val="false"/>
          <w:color w:val="1A1A1A"/>
          <w:sz w:val="21"/>
          <w:szCs w:val="21"/>
        </w:rPr>
        <w:t xml:space="preserve">keine Einrichtungs- oder Setup-Gebühr</w:t>
      </w:r>
      <w:r>
        <w:rPr>
          <w:rFonts w:ascii="Arial" w:cs="Arial" w:eastAsia="Arial" w:hAnsi="Arial"/>
          <w:b w:val="false"/>
          <w:bCs w:val="false"/>
          <w:i w:val="false"/>
          <w:iCs w:val="false"/>
          <w:color w:val="1A1A1A"/>
          <w:sz w:val="21"/>
          <w:szCs w:val="21"/>
        </w:rPr>
        <w:t xml:space="preserve"> erhoben. Für Betriebsleistungen fällt ausschließlich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Bis zur Erteilung der USt-IdNr. wird die Steuernummer auf der Rechnung ausgewiesen.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keine anteilige Rückerstattung (der gewährte Rabatt ist Gegenleistung für die Bindung);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verbindlichen Preise, Bestellungen oder Vertragsabschlüsse).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w:t>
      </w:r>
    </w:p>
    <w:p>
      <w:pPr>
        <w:spacing w:after="120" w:line="276"/>
        <w:jc w:val="both"/>
      </w:pPr>
      <w:r>
        <w:rPr>
          <w:rFonts w:ascii="Arial" w:cs="Arial" w:eastAsia="Arial" w:hAnsi="Arial"/>
          <w:b/>
          <w:bCs/>
          <w:i w:val="false"/>
          <w:iCs w:val="false"/>
          <w:color w:val="1A1A1A"/>
          <w:sz w:val="21"/>
          <w:szCs w:val="21"/>
        </w:rPr>
        <w:t xml:space="preserve">Aufzeichnung/Transkription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und wird nur auf dokumentierte Weisung des Kunden aktiviert. Bei aktivierter Aufzeichnung erfolgt zusätzlich zur KI-Ansage ein Aufzeichnungshinweis. Der Kunde ist für das Vorliegen einer tragfähigen Rechtsgrundlage der Aufzeichnung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Optionale Rückfallnummer (Fallback bei Nichterreichbarkeit des Agenten):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Leistungsschein ist ein sorgfältig erstellter Entwurf und sollte für den konkreten Einzelfall anwaltlich geprüft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Auftragsformular / Leistungsschein</dc:title>
  <dc:creator>NexAI</dc:creator>
  <cp:lastModifiedBy>Un-named</cp:lastModifiedBy>
  <cp:revision>1</cp:revision>
  <dcterms:created xsi:type="dcterms:W3CDTF">2026-09-07T18:53:58.470Z</dcterms:created>
  <dcterms:modified xsi:type="dcterms:W3CDTF">2026-09-07T18:53:58.470Z</dcterms:modified>
</cp:coreProperties>
</file>

<file path=docProps/custom.xml><?xml version="1.0" encoding="utf-8"?>
<Properties xmlns="http://schemas.openxmlformats.org/officeDocument/2006/custom-properties" xmlns:vt="http://schemas.openxmlformats.org/officeDocument/2006/docPropsVTypes"/>
</file>