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und ausschließlich für Betriebsleistungen im Sinne des Dienstvertragsrechts; für Projektleistungen (einmalige Werkleistungen) gilt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(durch Zahlungsverzug oder aus anderem Grund berechtigt) ausgesetztes Vertragsverhältnis sowie die vollständige Erfüllung der fälligen Zahlungspflichten des Kunden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08:00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(08:00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kompletter Ausfall aller Agenten.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8 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als Bemühensschuld. Eine bestimmte </w:t>
      </w:r>
      <w:r>
        <w:rPr>
          <w:rFonts w:ascii="Arial" w:cs="Arial" w:eastAsia="Arial" w:hAnsi="Arial"/>
          <w:b/>
          <w:bCs/>
          <w:i w:val="false"/>
          <w:iCs w:val="false"/>
          <w:color w:val="1A1A1A"/>
          <w:sz w:val="21"/>
          <w:szCs w:val="21"/>
        </w:rPr>
        <w:t xml:space="preserve">Wiederherstellungs-, Lösungs- oder Behebungszeit wird ausdrücklich nicht garantiert.</w:t>
      </w:r>
      <w:r>
        <w:rPr>
          <w:rFonts w:ascii="Arial" w:cs="Arial" w:eastAsia="Arial" w:hAnsi="Arial"/>
          <w:b w:val="false"/>
          <w:bCs w:val="false"/>
          <w:i w:val="false"/>
          <w:iCs w:val="false"/>
          <w:color w:val="1A1A1A"/>
          <w:sz w:val="21"/>
          <w:szCs w:val="21"/>
        </w:rPr>
        <w:t xml:space="preserve"> NexAI wird sich bemühen, gemeldete Störungen mit der nach den Umständen gebotenen Sorgfalt und in einer der Priorität angemessenen Weise zu bearbeiten und zu beheben.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Ursachen, die außerhalb des Einflussbereichs von NexAI liegen – insbesondere Störungen, Ausfälle, Wartungen oder Änderungen bei Subunternehmern und Drittdiensten (z. B. Vapi, Twilio, Make, OpenAI, ElevenLabs, Google, Hoster) sowie Ereignisse höherer Gewalt – hemmen den Lauf der Reaktionszeiten für die Dauer ihres Bestehens. NexAI wird den Kunden über solche Umstände, sobald erkannt, unterrichten.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im Rahmen der Bemühensschuld, die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Dritter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Angekündigte planbare Wartungsfenster sowie kurzzeitige, wartungsbedingte Unterbrechungen oder Beeinträchtigungen gelten nicht als Nichtverfügbarkeit im Sinne von Abschnitt 7 und stellen keine Pflichtverletzung dar.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w:t>
      </w:r>
      <w:r>
        <w:rPr>
          <w:rFonts w:ascii="Arial" w:cs="Arial" w:eastAsia="Arial" w:hAnsi="Arial"/>
          <w:b/>
          <w:bCs/>
          <w:i w:val="false"/>
          <w:iCs w:val="false"/>
          <w:color w:val="1A1A1A"/>
          <w:sz w:val="21"/>
          <w:szCs w:val="21"/>
        </w:rPr>
        <w:t xml:space="preserve">keine garantierte Verfügbarkeit (Uptime)</w:t>
      </w:r>
      <w:r>
        <w:rPr>
          <w:rFonts w:ascii="Arial" w:cs="Arial" w:eastAsia="Arial" w:hAnsi="Arial"/>
          <w:b w:val="false"/>
          <w:bCs w:val="false"/>
          <w:i w:val="false"/>
          <w:iCs w:val="false"/>
          <w:color w:val="1A1A1A"/>
          <w:sz w:val="21"/>
          <w:szCs w:val="21"/>
        </w:rPr>
        <w:t xml:space="preserve"> der Agenten und Anwendungen. Als </w:t>
      </w:r>
      <w:r>
        <w:rPr>
          <w:rFonts w:ascii="Arial" w:cs="Arial" w:eastAsia="Arial" w:hAnsi="Arial"/>
          <w:b/>
          <w:bCs/>
          <w:i w:val="false"/>
          <w:iCs w:val="false"/>
          <w:color w:val="1A1A1A"/>
          <w:sz w:val="21"/>
          <w:szCs w:val="21"/>
        </w:rPr>
        <w:t xml:space="preserve">unverbindliche Zielkennzahl</w:t>
      </w:r>
      <w:r>
        <w:rPr>
          <w:rFonts w:ascii="Arial" w:cs="Arial" w:eastAsia="Arial" w:hAnsi="Arial"/>
          <w:b w:val="false"/>
          <w:bCs w:val="false"/>
          <w:i w:val="false"/>
          <w:iCs w:val="false"/>
          <w:color w:val="1A1A1A"/>
          <w:sz w:val="21"/>
          <w:szCs w:val="21"/>
        </w:rPr>
        <w:t xml:space="preserve"> strebt NexAI für die von ihr selbst betriebene Orchestrierungsschicht eine Verfügbarkeit von </w:t>
      </w:r>
      <w:r>
        <w:rPr>
          <w:rFonts w:ascii="Arial" w:cs="Arial" w:eastAsia="Arial" w:hAnsi="Arial"/>
          <w:b/>
          <w:bCs/>
          <w:i w:val="false"/>
          <w:iCs w:val="false"/>
          <w:color w:val="1A1A1A"/>
          <w:sz w:val="21"/>
          <w:szCs w:val="21"/>
        </w:rPr>
        <w:t xml:space="preserve">99 % im Monatsmittel</w:t>
      </w:r>
      <w:r>
        <w:rPr>
          <w:rFonts w:ascii="Arial" w:cs="Arial" w:eastAsia="Arial" w:hAnsi="Arial"/>
          <w:b w:val="false"/>
          <w:bCs w:val="false"/>
          <w:i w:val="false"/>
          <w:iCs w:val="false"/>
          <w:color w:val="1A1A1A"/>
          <w:sz w:val="21"/>
          <w:szCs w:val="21"/>
        </w:rPr>
        <w:t xml:space="preserve"> an.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Berechnung dieser Zielkennzahl bleiben unberücksichtigt: (a) Ausfälle, Störungen und Wartungen von Subunternehmern und Drittdiensten, (b) angekündigte und Notfall-Wartungsfenster (Abschnitt 6), (c) Ereignisse höherer Gewalt sowie (d) Störungen aus dem Verantwortungsbereich des Kunden oder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Zielkennzahl stellt eine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keine Beschaffenheits- oder Verfügbarkeitsgarantie</w:t>
      </w:r>
      <w:r>
        <w:rPr>
          <w:rFonts w:ascii="Arial" w:cs="Arial" w:eastAsia="Arial" w:hAnsi="Arial"/>
          <w:b w:val="false"/>
          <w:bCs w:val="false"/>
          <w:i w:val="false"/>
          <w:iCs w:val="false"/>
          <w:color w:val="1A1A1A"/>
          <w:sz w:val="21"/>
          <w:szCs w:val="21"/>
        </w:rPr>
        <w:t xml:space="preserve"> und keine zugesicherte Eigenschaft dar. Aus dem bloßen Nichterreichen der Zielkennzahl ergeben sich keine Vertragsstrafen, Gutschriften oder Minderungsansprüche, soweit nicht ausdrücklich abweichend vereinbart. Zwingende gesetzliche Ansprüche des Kunden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Agenten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w:t>
      </w:r>
      <w:r>
        <w:rPr>
          <w:rFonts w:ascii="Arial" w:cs="Arial" w:eastAsia="Arial" w:hAnsi="Arial"/>
          <w:b/>
          <w:bCs/>
          <w:i w:val="false"/>
          <w:iCs w:val="false"/>
          <w:color w:val="1A1A1A"/>
          <w:sz w:val="21"/>
          <w:szCs w:val="21"/>
        </w:rPr>
        <w:t xml:space="preserve">Sicherung seiner eigenen Daten</w:t>
      </w:r>
      <w:r>
        <w:rPr>
          <w:rFonts w:ascii="Arial" w:cs="Arial" w:eastAsia="Arial" w:hAnsi="Arial"/>
          <w:b w:val="false"/>
          <w:bCs w:val="false"/>
          <w:i w:val="false"/>
          <w:iCs w:val="false"/>
          <w:color w:val="1A1A1A"/>
          <w:sz w:val="21"/>
          <w:szCs w:val="21"/>
        </w:rPr>
        <w:t xml:space="preserve"> selbst verantwortlich. Führendes System für Geschäftsdaten ist das jeweilige </w:t>
      </w:r>
      <w:r>
        <w:rPr>
          <w:rFonts w:ascii="Arial" w:cs="Arial" w:eastAsia="Arial" w:hAnsi="Arial"/>
          <w:b/>
          <w:bCs/>
          <w:i w:val="false"/>
          <w:iCs w:val="false"/>
          <w:color w:val="1A1A1A"/>
          <w:sz w:val="21"/>
          <w:szCs w:val="21"/>
        </w:rPr>
        <w:t xml:space="preserve">Kundensystem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 über die vertraglich vereinbarten Betriebsleistungen hinausgehende Datensicherung. Soweit eine Speicherung technisch abschaltbar ist, erfolgt keine Speicherung; im Übrigen gelten die Regelungen der Vertragsdokumente, insbesondere zur Aufbewahrung (regelmäßig sechs Monate) sowie zum 30-tägigen Export vor Löschung bei Vertragsende.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Vor Eingriffen, die mit einem Risiko für Datenbestände verbunden sein können, obliegt es dem Kunden, im Rahmen des Zumutbaren aktuelle Sicherungen der in seinen Systemen geführten Daten vorzuhalten.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und Funktionsfähigkeit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NexAI hat auf deren Verfügbarkeit, Leistungsfähigkeit und Änderungen keinen Einfluss und übernimmt hierfür keine Gewähr. Störungen dieser Dienste liegen außerhalb des Verantwortungsbereichs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dieses SLA mit Wirkung für die Zukunft anzupassen, soweit dies aus sachlichen Gründen – insbesondere aufgrund technischer Weiterentwicklungen, geänderter Leistungen von Subunternehmern oder geänderter rechtlicher Rahmenbedingungen – erforderlich ist und die Anpassung den Kunden nicht unangemessen benachteiligt. Der wesentliche Kern der geschuldeten Leistung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Änderungen kündigt NexAI mindestens </w:t>
      </w:r>
      <w:r>
        <w:rPr>
          <w:rFonts w:ascii="Arial" w:cs="Arial" w:eastAsia="Arial" w:hAnsi="Arial"/>
          <w:b/>
          <w:bCs/>
          <w:i w:val="false"/>
          <w:iCs w:val="false"/>
          <w:color w:val="1A1A1A"/>
          <w:sz w:val="21"/>
          <w:szCs w:val="21"/>
        </w:rPr>
        <w:t xml:space="preserve">sechs Wochen</w:t>
      </w:r>
      <w:r>
        <w:rPr>
          <w:rFonts w:ascii="Arial" w:cs="Arial" w:eastAsia="Arial" w:hAnsi="Arial"/>
          <w:b w:val="false"/>
          <w:bCs w:val="false"/>
          <w:i w:val="false"/>
          <w:iCs w:val="false"/>
          <w:color w:val="1A1A1A"/>
          <w:sz w:val="21"/>
          <w:szCs w:val="21"/>
        </w:rPr>
        <w:t xml:space="preserve"> vor ihrem Wirksamwerden in Textform an; dabei werden die geänderten Regelungen mitgeteilt oder in konsolidierter Fassung übermittelt.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Beeinträchtigt die Änderung die Interessen des Kunden nicht nur unerheblich,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des betroffenen Betriebsverhältnisses zum Zeitpunkt des Wirksamwerdens der Änderung zu. Kündigt der Kunde nicht, wird die Änderung zum angekündigten Zeitpunkt wirksam. Eine </w:t>
      </w:r>
      <w:r>
        <w:rPr>
          <w:rFonts w:ascii="Arial" w:cs="Arial" w:eastAsia="Arial" w:hAnsi="Arial"/>
          <w:b/>
          <w:bCs/>
          <w:i w:val="false"/>
          <w:iCs w:val="false"/>
          <w:color w:val="1A1A1A"/>
          <w:sz w:val="21"/>
          <w:szCs w:val="21"/>
        </w:rPr>
        <w:t xml:space="preserve">Zustimmungsfiktion</w:t>
      </w:r>
      <w:r>
        <w:rPr>
          <w:rFonts w:ascii="Arial" w:cs="Arial" w:eastAsia="Arial" w:hAnsi="Arial"/>
          <w:b w:val="false"/>
          <w:bCs w:val="false"/>
          <w:i w:val="false"/>
          <w:iCs w:val="false"/>
          <w:color w:val="1A1A1A"/>
          <w:sz w:val="21"/>
          <w:szCs w:val="21"/>
        </w:rPr>
        <w:t xml:space="preserve"> wird nicht vereinbart; auf das Sonderkündigungsrecht und die Bedeutung eines Unterbleibens der Kündigung wird in der Änderungsankündigung gesondert hingewiesen.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Dokument ist ein sorgfältig erstellter Entwurf und ersetzt keine Rechtsberatung im Einzelfall. Es sollte vor Verwendung für den konkreten Einzelfall anwaltlich geprüft werden.</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C – Service Level Agreement (SLA)</dc:title>
  <dc:creator>NexAI</dc:creator>
  <cp:lastModifiedBy>Un-named</cp:lastModifiedBy>
  <cp:revision>1</cp:revision>
  <dcterms:created xsi:type="dcterms:W3CDTF">2026-09-07T18:53:59.093Z</dcterms:created>
  <dcterms:modified xsi:type="dcterms:W3CDTF">2026-09-07T18:53:59.093Z</dcterms:modified>
</cp:coreProperties>
</file>

<file path=docProps/custom.xml><?xml version="1.0" encoding="utf-8"?>
<Properties xmlns="http://schemas.openxmlformats.org/officeDocument/2006/custom-properties" xmlns:vt="http://schemas.openxmlformats.org/officeDocument/2006/docPropsVTypes"/>
</file>