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 gespeicherte Bankverbindungen bekannter Absender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 [Frist von Max festzulegen; setzt voraus: Aufnahme in den Löschlauf]</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2026-10-18T10:03:04.244Z</dcterms:created>
  <dcterms:modified xsi:type="dcterms:W3CDTF">2026-10-18T10:03:04.245Z</dcterms:modified>
</cp:coreProperties>
</file>

<file path=docProps/custom.xml><?xml version="1.0" encoding="utf-8"?>
<Properties xmlns="http://schemas.openxmlformats.org/officeDocument/2006/custom-properties" xmlns:vt="http://schemas.openxmlformats.org/officeDocument/2006/docPropsVTypes"/>
</file>