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sind nicht bevollmächtigt, für NexAI Vereinbarungen zu treffen oder Zusagen zu geben, die von den Vertragsdokumenten abweichen oder über sie hinausgehen.</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Geschäftsbedingungen (AGB) – B2B</dc:title>
  <dc:creator>NexAI</dc:creator>
  <cp:lastModifiedBy>Un-named</cp:lastModifiedBy>
  <cp:revision>1</cp:revision>
  <dcterms:created xsi:type="dcterms:W3CDTF">2026-10-18T10:03:09.882Z</dcterms:created>
  <dcterms:modified xsi:type="dcterms:W3CDTF">2026-10-18T10:03:09.889Z</dcterms:modified>
</cp:coreProperties>
</file>

<file path=docProps/custom.xml><?xml version="1.0" encoding="utf-8"?>
<Properties xmlns="http://schemas.openxmlformats.org/officeDocument/2006/custom-properties" xmlns:vt="http://schemas.openxmlformats.org/officeDocument/2006/docPropsVTypes"/>
</file>