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20147646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und Automatisierung, insbesondere die Bereitstellung, Einrichtung und den Betrieb von KI-Agenten / digitalen Assistenten (Voice Agent, Chat Agent, Social-Media-Agent, Vertriebs-/Akquise-Agent,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die Erstellung von Websites und damit verbundene Leistungen. Personen, die mit den Agenten interagieren (z. B. Anrufer, Chat-Kontakte, angesprochene Kontakte),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Erstellung von Websites sowie die Ersteinrichtung und Konfiguration von Agenten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recherchiert Kontakte teilweise selbst. NexAI unterliegt insoweit strengen Eigen-Compliance-Vorgaben (nur zulässige B2B-Ansprache, Erfüllung der Informationspflichten nach Art. 14 DSGVO, Dokumentation von Opt-outs).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Rahmen-Dienstleistungsvertrag für KI- und Automatisierungslösungen (B2B)</dc:title>
  <dc:creator>NexAI</dc:creator>
  <cp:lastModifiedBy>Un-named</cp:lastModifiedBy>
  <cp:revision>1</cp:revision>
  <dcterms:created xsi:type="dcterms:W3CDTF">2026-07-07T19:59:57.750Z</dcterms:created>
  <dcterms:modified xsi:type="dcterms:W3CDTF">2026-07-07T19:59:57.753Z</dcterms:modified>
</cp:coreProperties>
</file>

<file path=docProps/custom.xml><?xml version="1.0" encoding="utf-8"?>
<Properties xmlns="http://schemas.openxmlformats.org/officeDocument/2006/custom-properties" xmlns:vt="http://schemas.openxmlformats.org/officeDocument/2006/docPropsVTypes"/>
</file>