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20147646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Social-Media-Agenten, Vertriebs-/Akquise-Agenten, Automatisierungen und individuelle KI-Agenten,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Erstellung von Websites und die Ersteinrichtung von Agenten (nachfolgend "Projektleistungen", Werkvertragsrecht) sowie den laufenden Betrieb, die Wartung, das Hosting und den Support der Agenten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fällt keine Einrichtungs- oder Setup-Gebühr an. Für die Leistungen ist ausschließlich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Bis zur Erteilung einer Umsatzsteuer-Identifikationsnummer wird auf den Rechnungen die Steuernummer ausgewiesen.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NexAI im Rahmen von Vertriebs-/Akquise-Agenten selbst Kontakte recherchiert, hält NexAI die einschlägigen Vorgaben ein, insbesondere die Grenzen zulässiger B2B-Ansprache, die Informationspflichten nach Art. 14 DSGVO sowie die Dokumentation von Widersprüchen (Opt-out). Der Kunde sichert zu, dass die von ihm veranlassten Kampagnen rechtmäßig sind. NexAI ist berechtigt, die Durchführung erkennbar rechtswidriger Kampagnen abzulehnen.</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Geschäftsbedingungen (AGB) – B2B</dc:title>
  <dc:creator>NexAI</dc:creator>
  <cp:lastModifiedBy>Un-named</cp:lastModifiedBy>
  <cp:revision>1</cp:revision>
  <dcterms:created xsi:type="dcterms:W3CDTF">2026-07-07T19:59:59.212Z</dcterms:created>
  <dcterms:modified xsi:type="dcterms:W3CDTF">2026-07-07T19:59:59.213Z</dcterms:modified>
</cp:coreProperties>
</file>

<file path=docProps/custom.xml><?xml version="1.0" encoding="utf-8"?>
<Properties xmlns="http://schemas.openxmlformats.org/officeDocument/2006/custom-properties" xmlns:vt="http://schemas.openxmlformats.org/officeDocument/2006/docPropsVTypes"/>
</file>