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August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Social-Media-Agent, Vertriebs-/Akquise-Agent, Automatisierungen, individuelle KI-Agenten – nachfolgend "Agenten") sowie zugehöriger Projekt- und Betriebsleistungen. Im Rahmen dieser Leistungen verarbeitet NexAI personenbezogene Daten im Auftrag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Für die abweichende oder ergänzende Rollenverteilung bei einzelnen Leistungsarten – insbesondere bei der Vertriebs-/Akquise-Leistung – gilt die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 a. Sprachdialog, Chatdialog, Terminvereinbarung, Weiterleitung, Automatisierungen, Kontaktaufnahme).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für den Kunden, insbesondere die Beantwortung von Anfragen von Endnutzern, die Vereinbarung und Verwaltung von Terminen, die Weiterleitung von Anliegen sowie – nach Maßgabe der jeweiligen Beauftragung – die Kontaktaufnahme mit vom Kunden bestimmten Zielgruppen.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interagieren, insbesondere Anrufer (Voice Agent), Chat-Kontakte (Chat Agent), über Social-Media-Kanäle kommunizierende Personen sowie im Rahmen der Vertriebs-/Akquise-Leistung angesprochene Kontakte;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mitgeteilt werden (z. B. genannte Kontaktpersonen).</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Transkripte und – nur bei ausdrücklich aktivierter Funktion – 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Der Kunde stellt durch geeignete Konfiguration und Weisung sicher, dass die Agenten nicht gezielt zur Erhebung solcher Daten eingesetzt werden. Werden derartige Daten durch Endnutzer unaufgefordert mitgeteilt, verarbeitet NexAI sie ausschließlich im Rahmen der dokumentierten Weisungen und der Löschroutinen dieses AVV.</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Satz 3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konfiguriert die eingesetzten Subunternehmer, soweit technisch möglich, so, dass eine Nutzung der übermittelten Daten zu Trainingszwecken ausgeschlossen ist und die Daten nicht oder nur für den kürzest möglichen, technisch vorgegebenen Zeitraum gespeichert werden (Zero-Retention- bzw. No-Training-Konfiguration).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Grundsatz der Nichtspeicherung:</w:t>
      </w:r>
      <w:r>
        <w:rPr>
          <w:rFonts w:ascii="Arial" w:cs="Arial" w:eastAsia="Arial" w:hAnsi="Arial"/>
          <w:b w:val="false"/>
          <w:bCs w:val="false"/>
          <w:i w:val="false"/>
          <w:iCs w:val="false"/>
          <w:color w:val="1A1A1A"/>
          <w:sz w:val="21"/>
          <w:szCs w:val="21"/>
        </w:rPr>
        <w:t xml:space="preserve"> Wo eine Speicherung technisch abschaltbar ist, wird sie deaktiviert; personenbezogene Daten werden dann nur flüchtig zur Durchführung der jeweiligen Interaktion verarbeitet.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Soweit eine Speicherung technisch erforderlich ist oder auf dokumentierter Weisung des Kunden erfolgt, werden die Daten </w:t>
      </w:r>
      <w:r>
        <w:rPr>
          <w:rFonts w:ascii="Arial" w:cs="Arial" w:eastAsia="Arial" w:hAnsi="Arial"/>
          <w:b/>
          <w:bCs/>
          <w:i w:val="false"/>
          <w:iCs w:val="false"/>
          <w:color w:val="1A1A1A"/>
          <w:sz w:val="21"/>
          <w:szCs w:val="21"/>
        </w:rPr>
        <w:t xml:space="preserve">spätestens sechs (6) Monate nach ihrer Erhebung</w:t>
      </w:r>
      <w:r>
        <w:rPr>
          <w:rFonts w:ascii="Arial" w:cs="Arial" w:eastAsia="Arial" w:hAnsi="Arial"/>
          <w:b w:val="false"/>
          <w:bCs w:val="false"/>
          <w:i w:val="false"/>
          <w:iCs w:val="false"/>
          <w:color w:val="1A1A1A"/>
          <w:sz w:val="21"/>
          <w:szCs w:val="21"/>
        </w:rPr>
        <w:t xml:space="preserve"> gelöscht, sofern nicht der Kunde eine abweichende (insbesondere kürzere) Frist weist oder eine Ausnahme nach Absatz 4 greift. Der Kunde als Verantwortlicher kann jederzeit eine frühere Löschung anweisen.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Von der Löschung ausgenommen sind Daten, deren weitere Aufbewahrung zur Erfüllung gesetzlicher Aufbewahrungspflichten oder zu Nachweiszwecken bis zum Ablauf der einschlägigen Verjährungsfristen erforderlich ist; solche Daten werden in ihrer Verarbeitung eingeschränkt (gesperrt) und nach Wegfall des Aufbewahrungsgrundes gelöscht.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Führendes System für Geschäfts- und Vorgangsdaten sind die Systeme des Kunden; NexAI hält Daten insoweit nur zur Leistungserbringung vor.</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beabsichtigte Änderungen in Bezug auf die Hinzuziehung oder Ersetzung von Unterauftragsverarbeitern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(Art. 28 Abs. 2 Satz 1 DSGVO).</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einer beabsichtigten Änderung binnen der Frist aus wichtigem, datenschutzbezogenem Grund in Textform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Erfolgt eine Verarbeitung durch einen Unterauftragsverarbeiter in einem Drittland, stellt NexAI sicher, dass die Anforderungen der Art. 44 ff. DSGVO eingehalten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Vorrangig stützt sich der Transfer auf einen </w:t>
      </w:r>
      <w:r>
        <w:rPr>
          <w:rFonts w:ascii="Arial" w:cs="Arial" w:eastAsia="Arial" w:hAnsi="Arial"/>
          <w:b/>
          <w:bCs/>
          <w:i w:val="false"/>
          <w:iCs w:val="false"/>
          <w:color w:val="1A1A1A"/>
          <w:sz w:val="21"/>
          <w:szCs w:val="21"/>
        </w:rPr>
        <w:t xml:space="preserve">Angemessenheitsbeschluss</w:t>
      </w:r>
      <w:r>
        <w:rPr>
          <w:rFonts w:ascii="Arial" w:cs="Arial" w:eastAsia="Arial" w:hAnsi="Arial"/>
          <w:b w:val="false"/>
          <w:bCs w:val="false"/>
          <w:i w:val="false"/>
          <w:iCs w:val="false"/>
          <w:color w:val="1A1A1A"/>
          <w:sz w:val="21"/>
          <w:szCs w:val="21"/>
        </w:rPr>
        <w:t xml:space="preserve"> der Europäischen Kommission, insbesondere das EU-U.S. Data Privacy Framework (DPF), sofern der jeweilige Empfänger zertifiziert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Hilfsweise – insbesondere wenn keine DPF-Zertifizierung vorliegt (bei den in Anhang 2 gekennzeichneten Empfängern, etwa Vapi und Deepgram (USA), vorsorglich der SCC-Weg) – werden die </w:t>
      </w:r>
      <w:r>
        <w:rPr>
          <w:rFonts w:ascii="Arial" w:cs="Arial" w:eastAsia="Arial" w:hAnsi="Arial"/>
          <w:b/>
          <w:bCs/>
          <w:i w:val="false"/>
          <w:iCs w:val="false"/>
          <w:color w:val="1A1A1A"/>
          <w:sz w:val="21"/>
          <w:szCs w:val="21"/>
        </w:rPr>
        <w:t xml:space="preserve">EU-Standardvertragsklauseln</w:t>
      </w:r>
      <w:r>
        <w:rPr>
          <w:rFonts w:ascii="Arial" w:cs="Arial" w:eastAsia="Arial" w:hAnsi="Arial"/>
          <w:b w:val="false"/>
          <w:bCs w:val="false"/>
          <w:i w:val="false"/>
          <w:iCs w:val="false"/>
          <w:color w:val="1A1A1A"/>
          <w:sz w:val="21"/>
          <w:szCs w:val="21"/>
        </w:rPr>
        <w:t xml:space="preserve"> (Durchführungsbeschluss (EU) 2021/914), </w:t>
      </w:r>
      <w:r>
        <w:rPr>
          <w:rFonts w:ascii="Arial" w:cs="Arial" w:eastAsia="Arial" w:hAnsi="Arial"/>
          <w:b/>
          <w:bCs/>
          <w:i w:val="false"/>
          <w:iCs w:val="false"/>
          <w:color w:val="1A1A1A"/>
          <w:sz w:val="21"/>
          <w:szCs w:val="21"/>
        </w:rPr>
        <w:t xml:space="preserve">Modul 3 (Auftragsverarbeiter an Unterauftragsverarbeiter)</w:t>
      </w:r>
      <w:r>
        <w:rPr>
          <w:rFonts w:ascii="Arial" w:cs="Arial" w:eastAsia="Arial" w:hAnsi="Arial"/>
          <w:b w:val="false"/>
          <w:bCs w:val="false"/>
          <w:i w:val="false"/>
          <w:iCs w:val="false"/>
          <w:color w:val="1A1A1A"/>
          <w:sz w:val="21"/>
          <w:szCs w:val="21"/>
        </w:rPr>
        <w:t xml:space="preserve">, abgeschlossen, ergänzt um erforderliche </w:t>
      </w:r>
      <w:r>
        <w:rPr>
          <w:rFonts w:ascii="Arial" w:cs="Arial" w:eastAsia="Arial" w:hAnsi="Arial"/>
          <w:b/>
          <w:bCs/>
          <w:i w:val="false"/>
          <w:iCs w:val="false"/>
          <w:color w:val="1A1A1A"/>
          <w:sz w:val="21"/>
          <w:szCs w:val="21"/>
        </w:rPr>
        <w:t xml:space="preserve">Zusatzmaßnahmen</w:t>
      </w:r>
      <w:r>
        <w:rPr>
          <w:rFonts w:ascii="Arial" w:cs="Arial" w:eastAsia="Arial" w:hAnsi="Arial"/>
          <w:b w:val="false"/>
          <w:bCs w:val="false"/>
          <w:i w:val="false"/>
          <w:iCs w:val="false"/>
          <w:color w:val="1A1A1A"/>
          <w:sz w:val="21"/>
          <w:szCs w:val="21"/>
        </w:rPr>
        <w:t xml:space="preserve"> und eine </w:t>
      </w:r>
      <w:r>
        <w:rPr>
          <w:rFonts w:ascii="Arial" w:cs="Arial" w:eastAsia="Arial" w:hAnsi="Arial"/>
          <w:b/>
          <w:bCs/>
          <w:i w:val="false"/>
          <w:iCs w:val="false"/>
          <w:color w:val="1A1A1A"/>
          <w:sz w:val="21"/>
          <w:szCs w:val="21"/>
        </w:rPr>
        <w:t xml:space="preserve">Transfer-Folgenabschätzung (Transfer Impact Assessment, TIA)</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Abschluss der Erbringung der Verarbeitungsleistungen löscht NexAI nach Wahl des Kunden alle personenbezogenen Daten oder gibt sie zurück und löscht vorhandene Kopien, sofern nicht nach Unionsrecht oder mitgliedstaatlichem Recht eine Verpflichtung zur Speicherung besteht (Art. 28 Abs. 3 lit.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dem Kunden vor der Löschung für einen Zeitraum von </w:t>
      </w:r>
      <w:r>
        <w:rPr>
          <w:rFonts w:ascii="Arial" w:cs="Arial" w:eastAsia="Arial" w:hAnsi="Arial"/>
          <w:b/>
          <w:bCs/>
          <w:i w:val="false"/>
          <w:iCs w:val="false"/>
          <w:color w:val="1A1A1A"/>
          <w:sz w:val="21"/>
          <w:szCs w:val="21"/>
        </w:rPr>
        <w:t xml:space="preserve">dreißig (30) Tagen</w:t>
      </w:r>
      <w:r>
        <w:rPr>
          <w:rFonts w:ascii="Arial" w:cs="Arial" w:eastAsia="Arial" w:hAnsi="Arial"/>
          <w:b w:val="false"/>
          <w:bCs w:val="false"/>
          <w:i w:val="false"/>
          <w:iCs w:val="false"/>
          <w:color w:val="1A1A1A"/>
          <w:sz w:val="21"/>
          <w:szCs w:val="21"/>
        </w:rPr>
        <w:t xml:space="preserve"> die Möglichkeit zum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der Daten in einem gängigen, strukturierten Format bereit. Nach Ablauf dieser Frist bzw. nach erfolgtem Export werden die Daten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bestätigt die Löschung auf Verlangen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Unterliegen Daten gesetzlichen Aufbewahrungspflichten (insbesondere § 147 AO, § 257 HGB), werden diese nicht gelöscht, sondern in ihrer Verarbeitung </w:t>
      </w:r>
      <w:r>
        <w:rPr>
          <w:rFonts w:ascii="Arial" w:cs="Arial" w:eastAsia="Arial" w:hAnsi="Arial"/>
          <w:b/>
          <w:bCs/>
          <w:i w:val="false"/>
          <w:iCs w:val="false"/>
          <w:color w:val="1A1A1A"/>
          <w:sz w:val="21"/>
          <w:szCs w:val="21"/>
        </w:rPr>
        <w:t xml:space="preserve">eingeschränkt (gesperrt)</w:t>
      </w:r>
      <w:r>
        <w:rPr>
          <w:rFonts w:ascii="Arial" w:cs="Arial" w:eastAsia="Arial" w:hAnsi="Arial"/>
          <w:b w:val="false"/>
          <w:bCs w:val="false"/>
          <w:i w:val="false"/>
          <w:iCs w:val="false"/>
          <w:color w:val="1A1A1A"/>
          <w:sz w:val="21"/>
          <w:szCs w:val="21"/>
        </w:rPr>
        <w:t xml:space="preserve"> (Art. 18 DSGVO) und nach Ablauf der Aufbewahrungsfrist gelöscht.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benennt einen Datenschutzbeauftragten, sofern und soweit eine gesetzliche Benennungspflicht besteht. Kontaktstelle für Datenschutzangelegenheiten und für Weisungen nach § 4 Abs. 2 ist mbt@nex-a-i.com.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Agent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(Inbound)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Social-Media-Agent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Vertriebs-/Akquise-Agent – NexAI recherchiert Kontakte selbst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Auftragsverarbeitung; im Einzelfall gemeinsame Verantwortlichkeit (Art. 26) oder getrennte Verantwortlichkeit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bzw. Art. 26 DSGVO – Festlegung im Auftragsformular</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Vertriebs-/Akquise-Leistung, bei der NexAI Kontaktdaten teilweise selbst recherchiert, legen die Parteien die konkrete Rolle im Auftragsformular fest. Wird eine </w:t>
      </w:r>
      <w:r>
        <w:rPr>
          <w:rFonts w:ascii="Arial" w:cs="Arial" w:eastAsia="Arial" w:hAnsi="Arial"/>
          <w:b/>
          <w:bCs/>
          <w:i w:val="false"/>
          <w:iCs w:val="false"/>
          <w:color w:val="1A1A1A"/>
          <w:sz w:val="21"/>
          <w:szCs w:val="21"/>
        </w:rPr>
        <w:t xml:space="preserve">gemeinsame Verantwortlichkeit</w:t>
      </w:r>
      <w:r>
        <w:rPr>
          <w:rFonts w:ascii="Arial" w:cs="Arial" w:eastAsia="Arial" w:hAnsi="Arial"/>
          <w:b w:val="false"/>
          <w:bCs w:val="false"/>
          <w:i w:val="false"/>
          <w:iCs w:val="false"/>
          <w:color w:val="1A1A1A"/>
          <w:sz w:val="21"/>
          <w:szCs w:val="21"/>
        </w:rPr>
        <w:t xml:space="preserve"> begründet, schließen die Parteien eine gesonderte Vereinbarung nach Art. 26 DSGVO, die die jeweiligen Pflichten – insbesondere zur Information nach Art. 14 DSGVO und zur Wahrnehmung von Betroffenenrechten – festlegt.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unterhält für die selbst durchgeführte Kontaktrecherche eine eigene Compliance (nur zulässige B2B-Ansprache, Erfüllung der Informationspflichten nach Art. 14 DSGVO, Dokumentation von Widersprüchen/Opt-outs) und ist berechtigt, rechtswidrige Kampagnenvorgaben abzulehnen. Der Kunde sichert die Rechtmäßigkeit der von ihm vorgegebenen Zielgruppen und Ansprachen zu.</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und 2 (Unterauftragsverarbeiter)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pStyle w:val="Heading2"/>
        <w:keepNext/>
        <w:spacing w:after="80" w:before="160"/>
      </w:pPr>
      <w:r>
        <w:rPr>
          <w:rFonts w:ascii="Arial" w:cs="Arial" w:eastAsia="Arial" w:hAnsi="Arial"/>
          <w:b/>
          <w:bCs/>
          <w:i w:val="false"/>
          <w:iCs w:val="false"/>
          <w:color w:val="0B0B0F"/>
          <w:sz w:val="21"/>
          <w:szCs w:val="21"/>
        </w:rPr>
        <w:t xml:space="preserve">1. Mandantentrennung / Trennungskontrolle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Projekte, Workspaces und API-Keys je Kunde bei den eingesetzten Diensten;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Verarbeitung von Test-/Entwicklungs- und Produktivdaten.</w:t>
      </w:r>
    </w:p>
    <w:p>
      <w:pPr>
        <w:pStyle w:val="Heading2"/>
        <w:keepNext/>
        <w:spacing w:after="80" w:before="160"/>
      </w:pPr>
      <w:r>
        <w:rPr>
          <w:rFonts w:ascii="Arial" w:cs="Arial" w:eastAsia="Arial" w:hAnsi="Arial"/>
          <w:b/>
          <w:bCs/>
          <w:i w:val="false"/>
          <w:iCs w:val="false"/>
          <w:color w:val="0B0B0F"/>
          <w:sz w:val="21"/>
          <w:szCs w:val="21"/>
        </w:rPr>
        <w:t xml:space="preserve">2. Zugangs- und Zugriffskontrolle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Multi-Faktor-Authentifizierung (MFA) für administrative Zugänge;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Least-Privilege-Prinzip: rollenbasierte, auf das Erforderliche beschränkte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kein Produktivbetrieb über rein private Endnutzer-Accounts; Nutzung dedizierter Betriebs-Accounts;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Passwort-Richtlinien und sichere Verwahrung von Geheimnissen/Schlüsseln;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regelmäßige Überprüfung und Entzug nicht mehr benötigter Berechtigungen.</w:t>
      </w:r>
    </w:p>
    <w:p>
      <w:pPr>
        <w:pStyle w:val="Heading2"/>
        <w:keepNext/>
        <w:spacing w:after="80" w:before="160"/>
      </w:pPr>
      <w:r>
        <w:rPr>
          <w:rFonts w:ascii="Arial" w:cs="Arial" w:eastAsia="Arial" w:hAnsi="Arial"/>
          <w:b/>
          <w:bCs/>
          <w:i w:val="false"/>
          <w:iCs w:val="false"/>
          <w:color w:val="0B0B0F"/>
          <w:sz w:val="21"/>
          <w:szCs w:val="21"/>
        </w:rPr>
        <w:t xml:space="preserve">3. Verschlüsselung / Weitergabekontrolle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Transportverschlüsselung (TLS) bei der Übertragung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Verschlüsselung ruhender Daten, soweit von den eingesetzten Diensten unterstützt;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gesicherte Schnittstellen (authentifizierte APIs/Webhooks).</w:t>
      </w:r>
    </w:p>
    <w:p>
      <w:pPr>
        <w:pStyle w:val="Heading2"/>
        <w:keepNext/>
        <w:spacing w:after="80" w:before="160"/>
      </w:pPr>
      <w:r>
        <w:rPr>
          <w:rFonts w:ascii="Arial" w:cs="Arial" w:eastAsia="Arial" w:hAnsi="Arial"/>
          <w:b/>
          <w:bCs/>
          <w:i w:val="false"/>
          <w:iCs w:val="false"/>
          <w:color w:val="0B0B0F"/>
          <w:sz w:val="21"/>
          <w:szCs w:val="21"/>
        </w:rPr>
        <w:t xml:space="preserve">4. Eingabe- und Protokollierungskontrolle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Zugriffs- und Aktivitätsprotokollierung in den administrativen Systemen;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Nachvollziehbarkeit wesentlicher Konfigurations- und Verarbeitungsvorgänge.</w:t>
      </w:r>
    </w:p>
    <w:p>
      <w:pPr>
        <w:pStyle w:val="Heading2"/>
        <w:keepNext/>
        <w:spacing w:after="80" w:before="160"/>
      </w:pPr>
      <w:r>
        <w:rPr>
          <w:rFonts w:ascii="Arial" w:cs="Arial" w:eastAsia="Arial" w:hAnsi="Arial"/>
          <w:b/>
          <w:bCs/>
          <w:i w:val="false"/>
          <w:iCs w:val="false"/>
          <w:color w:val="0B0B0F"/>
          <w:sz w:val="21"/>
          <w:szCs w:val="21"/>
        </w:rPr>
        <w:t xml:space="preserve">5. Verfügbarkeit und Belastbarkeit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Nutzung etablierter, ausfallsicherer Cloud-Infrastruktur der Subunternehmer;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Maßnahmen zur Wiederherstellbarkeit im Rahmen der Möglichkeiten der genutzten Dienste.</w:t>
      </w:r>
    </w:p>
    <w:p>
      <w:pPr>
        <w:pStyle w:val="Heading2"/>
        <w:keepNext/>
        <w:spacing w:after="80" w:before="160"/>
      </w:pPr>
      <w:r>
        <w:rPr>
          <w:rFonts w:ascii="Arial" w:cs="Arial" w:eastAsia="Arial" w:hAnsi="Arial"/>
          <w:b/>
          <w:bCs/>
          <w:i w:val="false"/>
          <w:iCs w:val="false"/>
          <w:color w:val="0B0B0F"/>
          <w:sz w:val="21"/>
          <w:szCs w:val="21"/>
        </w:rPr>
        <w:t xml:space="preserve">6. Datenminimierung und Löschung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Deaktivierung der Speicherung, wo technisch möglich (Grundsatz der Nichtspeicherung);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standardmäßig deaktivierte Aufzeichnung/Transkription;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Löschroutinen (Löschung spätestens sechs Monate nach Erhebung, soweit keine Ausnahme greift);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Zero-Retention-/No-Training-Konfiguration der Subunternehmer, soweit technisch verfügbar.</w:t>
      </w:r>
    </w:p>
    <w:p>
      <w:pPr>
        <w:pStyle w:val="Heading2"/>
        <w:keepNext/>
        <w:spacing w:after="80" w:before="160"/>
      </w:pPr>
      <w:r>
        <w:rPr>
          <w:rFonts w:ascii="Arial" w:cs="Arial" w:eastAsia="Arial" w:hAnsi="Arial"/>
          <w:b/>
          <w:bCs/>
          <w:i w:val="false"/>
          <w:iCs w:val="false"/>
          <w:color w:val="0B0B0F"/>
          <w:sz w:val="21"/>
          <w:szCs w:val="21"/>
        </w:rPr>
        <w:t xml:space="preserve">7. Auftragskontrolle und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Voice-Agent-Plattform (Sprachdialog, Telefonie-Orchestrierung)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Deepgram,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(Speech-to-Text)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Transkripte,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Ltd. / OpenAI,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 KI-Verarbeitung (Textverstehen, Antwortgenerierung) und Sprachsynthese (Text-to-Speech)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 No-Training-Konfiguration</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LLC / Google Ireland Ltd.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Kalender-, Sheets-, Gmail-/Workspace-Dienste (Terminverwaltung, Bestätigungen, Lead-Ablage)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easybell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Telefonie-Anbindung (SIP-Trunk)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Rufnummern, Verbindungs-/Metadaten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Hosting/Betrieb der von NexAI selbst betriebenen Automatisierungs- und Speicherinstanz (n8n)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Agent: Kontakt-, Vorgangs-, Termin-, Protokolldaten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Bei Diensten mit EU-Niederlassung wird die Verarbeitung vorrangig über die EU-Entität abgewickelt.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und 2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AVV ist ein sorgfältig erstellter Entwurf. Er ersetzt keine Rechtsberatung und sollte vor Verwendung im Einzelfall anwaltlich geprüft und an die konkrete Verarbeitungssituation angepasst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B – Vertrag zur Auftragsverarbeitung (AVV) gemäß Art. 28 DSGVO</dc:title>
  <dc:creator>NexAI</dc:creator>
  <cp:lastModifiedBy>Un-named</cp:lastModifiedBy>
  <cp:revision>1</cp:revision>
  <dcterms:created xsi:type="dcterms:W3CDTF">2026-08-08T13:44:55.271Z</dcterms:created>
  <dcterms:modified xsi:type="dcterms:W3CDTF">2026-08-08T13:44:55.271Z</dcterms:modified>
</cp:coreProperties>
</file>

<file path=docProps/custom.xml><?xml version="1.0" encoding="utf-8"?>
<Properties xmlns="http://schemas.openxmlformats.org/officeDocument/2006/custom-properties" xmlns:vt="http://schemas.openxmlformats.org/officeDocument/2006/docPropsVTypes"/>
</file>