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Calico и NetworkPolicy: изоляция и управляемое разрешение трафика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Calico как CNI и policy engine</w:t>
      </w:r>
    </w:p>
    <w:p>
      <w:pPr>
        <w:spacing w:after="140" w:line="269" w:lineRule="auto"/>
      </w:pPr>
      <w:r>
        <w:t>Calico может давать CNI-подключение, маршрутизацию через BGP или overlay и применять policy. Конкретный dataplane и возможности зависят от выбранной конфигурации, поэтому нельзя переносить пример «Calico» без проверки режима. Сначала фиксируйте CIDR, encapsulation, BGP peers, MTU и способ реализации policy.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Семантика Kubernetes NetworkPolicy</w:t>
      </w:r>
    </w:p>
    <w:p>
      <w:pPr>
        <w:spacing w:after="140" w:line="269" w:lineRule="auto"/>
      </w:pPr>
      <w:r>
        <w:t>NetworkPolicy выбирает Pods по podSelector и разрешает ingress/egress для выбранных Pods. Когда Pod выбран политикой данного направления, действует модель allowlist: разрешён только явно совпавший трафик; неселектированные Pods остаются вне этой изоляции. Политика не включает CNI-плагин сама: enforcement должен поддерживаться установленным CNI.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Selectors и пересечение правил</w:t>
      </w:r>
    </w:p>
    <w:p>
      <w:pPr>
        <w:spacing w:after="140" w:line="269" w:lineRule="auto"/>
      </w:pPr>
      <w:r>
        <w:t>podSelector выбирает источник/получатель внутри namespace; namespaceSelector расширяет область; ipBlock описывает CIDR. Несколько политик складываются как объединение разрешений, а не как последовательный deny. Поэтому нельзя «перекрыть» широкое разрешение более узкой запретительной NetworkPolicy: в стандартной семантике нет явного deny.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DNS и egress</w:t>
      </w:r>
    </w:p>
    <w:p>
      <w:pPr>
        <w:spacing w:after="140" w:line="269" w:lineRule="auto"/>
      </w:pPr>
      <w:r>
        <w:t>Default deny egress без исключения для DNS ломает резолвинг, часто проявляясь как ошибки приложений. Разрешение DNS должно быть точным: target DNS service/namespace/port, с пониманием того, как конкретный CNI сопоставляет IP и policy. Затем добавляйте только нужные базы, внешние CIDR или Service. Не используйте 0.0.0.0/0 как постоянный обход проблемы.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Порядок внедрения</w:t>
      </w:r>
    </w:p>
    <w:p>
      <w:pPr>
        <w:spacing w:after="140" w:line="269" w:lineRule="auto"/>
      </w:pPr>
      <w:r>
        <w:t>Инвентаризируйте реальные потоки, начните с наблюдаемого namespace, добавьте разрешение DNS и критичных зависимостей, включите default deny только после проверки. Измеряйте denied flows и имейте аварийный, но контролируемый rollback. Policy — код безопасности: ревью, тесты, версия в Git и проверка эффекта обязательны.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Calico расширения</w:t>
      </w:r>
    </w:p>
    <w:p>
      <w:pPr>
        <w:spacing w:after="140" w:line="269" w:lineRule="auto"/>
      </w:pPr>
      <w:r>
        <w:t>Calico предоставляет собственные CRD и более выразительные политики в дополнение к базовой Kubernetes NetworkPolicy. Их применяют осознанно: это повышает возможности, но привязывает правило к реализации. В документации и runbook всегда указывайте, является ли правило переносимой Kubernetes Policy или Calico-специфичным.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NetworkPolicy: https://kubernetes.io/docs/concepts/services-networking/network-policies/ . Calico documentation: https://docs.tigera.io/calico/latest/ . Calico policy: https://docs.tigera.io/calico/latest/network-policy/get-started/calico-policy/calico-network-policy.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В режиме Calico с BGP агент Felix применяет dataplane, а BGP-компонент участвует в распространении маршрутов; в overlay часть маршрутизации скрыта инкапсуляцией. Точные процессы и режим зависят от установки. Проверяйте health конкретных компонентов, IPPool, MTU, node address autodetection и BGP peer status. Не смешивайте инструкции для eBPF, iptables и VPP dataplane без подтверждения текущего режима.</w:t>
      </w:r>
    </w:p>
    <w:p>
      <w:pPr>
        <w:pStyle w:val="Heading1"/>
      </w:pPr>
      <w:r>
        <w:t>Углубление: Calico control plane</w:t>
      </w:r>
    </w:p>
    <w:p>
      <w:pPr>
        <w:spacing w:after="140" w:line="269" w:lineRule="auto"/>
      </w:pPr>
      <w:r>
        <w:t>Политика применяется к Pod по labels в момент передачи трафика. Изменение labels deployment может не только поменять выбор Service, но и изменить сетевые права. Согласуйте набор security-labels, защитите их admission-политикой и не используйте свободные произвольные labels как security-boundary.</w:t>
      </w:r>
    </w:p>
    <w:p>
      <w:pPr>
        <w:spacing w:after="140" w:line="269" w:lineRule="auto"/>
      </w:pPr>
      <w:r>
        <w:t>Стандартная Kubernetes NetworkPolicy имеет аддитивную семантику: если хотя бы одно правило разрешает поток, он допускается. Политики не образуют порядок «последнее правило победило», и стандартный API не имеет deny-правила, которое переопределит ранний allow. Поэтому широкий namespaceSelector или пустой podSelector должны проходить особенно строгое ревью.</w:t>
      </w:r>
    </w:p>
    <w:p>
      <w:pPr>
        <w:pStyle w:val="Heading1"/>
      </w:pPr>
      <w:r>
        <w:t>Углубление: политика как набор разрешений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