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Service и внутренний доступ: стабильная точка для Pod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Почему не Pod IP</w:t>
      </w:r>
    </w:p>
    <w:p>
      <w:pPr>
        <w:spacing w:after="140" w:line="269" w:lineRule="auto"/>
      </w:pPr>
      <w:r>
        <w:t>Pod эфемерен: controller пересоздаёт его, IP меняется, node может стать недоступной. Service отделяет потребителя от набора реплик, даёт DNS-имя и виртуальный адрес. Service selector выбирает Pods; контроллер создаёт EndpointSlice. Это два отдельных шага: наличие Service не означает наличие backend.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Типы Service</w:t>
      </w:r>
    </w:p>
    <w:p>
      <w:pPr>
        <w:spacing w:after="140" w:line="269" w:lineRule="auto"/>
      </w:pPr>
      <w:r>
        <w:t>ClusterIP доступен в кластере. NodePort резервирует порт на nodes и обычно используется как строительный блок, а не финальный публичный интерфейс. LoadBalancer запрашивает внешний балансировщик у интеграции облака/MetalLB/другого контроллера. ExternalName возвращает DNS CNAME и не создаёт proxy; его поведение зависит от DNS-клиента.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Порты и именование</w:t>
      </w:r>
    </w:p>
    <w:p>
      <w:pPr>
        <w:spacing w:after="140" w:line="269" w:lineRule="auto"/>
      </w:pPr>
      <w:r>
        <w:t>port — порт Service, targetPort — порт контейнера/endpoint, nodePort — внешний порт node. targetPort можно задать именем порта контейнера: это помогает менять номер между версиями, но требует, чтобы имя было единообразно. Ошибка port/targetPort часто даёт endpoints, но connection refused/timeout.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EndpointSlice и готовность</w:t>
      </w:r>
    </w:p>
    <w:p>
      <w:pPr>
        <w:spacing w:after="140" w:line="269" w:lineRule="auto"/>
      </w:pPr>
      <w:r>
        <w:t>EndpointSlice масштабируемо представляет backends и их readiness. Обычно Service направляет трафик только на ready endpoints. Если Pod работает, но readiness false, его не будет в обычном наборе. При расследовании сравните selector, labels Pod, EndpointSlice, ports и conditions; не проверяйте Service только curl с одной node.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Session и source IP</w:t>
      </w:r>
    </w:p>
    <w:p>
      <w:pPr>
        <w:spacing w:after="140" w:line="269" w:lineRule="auto"/>
      </w:pPr>
      <w:r>
        <w:t>sessionAffinity ClientIP даёт простое закрепление, но не заменяет корректную сессию приложения и может не работать как ожидается через NAT/proxy. externalTrafficPolicy влияет на сохранение source IP и распределение при внешнем трафике. Выбор нужен делать вместе с LoadBalancer/Gateway и health checks, а не по одному полю YAML.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Kubernetes Service: https://kubernetes.io/docs/concepts/services-networking/service/ . EndpointSlices: https://kubernetes.io/docs/concepts/services-networking/endpoint-slices/.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Сначала запросите EndpointSlice и убедитесь, что labels/ports совпали. Затем из диагностического Pod того же namespace резолвите Service, проверяйте TCP targetPort и прикладной протокол. Если тест из Pod проходит, а через Gateway нет, проблема выше Service. Если Pod IP работает, а Service нет, сравнивайте Service translation, selector и endpoints.</w:t>
      </w:r>
    </w:p>
    <w:p>
      <w:pPr>
        <w:pStyle w:val="Heading1"/>
      </w:pPr>
      <w:r>
        <w:t>Углубление: корректный тест</w:t>
      </w:r>
    </w:p>
    <w:p>
      <w:pPr>
        <w:spacing w:after="140" w:line="269" w:lineRule="auto"/>
      </w:pPr>
      <w:r>
        <w:t>Headless Service с clusterIP: None не даёт виртуальный IP и возвращает DNS-записи endpoints. Он нужен там, где клиент умеет работать с отдельными репликами, например StatefulSet. Это не значит, что можно подключаться к произвольному Pod IP без проверки его готовности и жизненного цикла.</w:t>
      </w:r>
    </w:p>
    <w:p>
      <w:pPr>
        <w:spacing w:after="140" w:line="269" w:lineRule="auto"/>
      </w:pPr>
      <w:r>
        <w:t>Service controller строит EndpointSlice из Pods, подходящих selector. Dataplane выбирает endpoint по реализации kube-proxy/eBPF. Endpoint с terminating/ready conditions может обрабатываться по-особому, поэтому rolling update требует сочетания readiness, grace period и draining. Service не устанавливает соединение сам: это виртуальная точка выбора backend, а TCP/HTTP поведение остаётся у клиента, gateway и приложения.</w:t>
      </w:r>
    </w:p>
    <w:p>
      <w:pPr>
        <w:pStyle w:val="Heading1"/>
      </w:pPr>
      <w:r>
        <w:t>Углубление: выбор backend Service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