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NetworkPolicy в production: модель угроз, rollout и диагностика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Граница и модель угроз</w:t>
      </w:r>
    </w:p>
    <w:p>
      <w:pPr>
        <w:spacing w:after="140" w:line="269" w:lineRule="auto"/>
      </w:pPr>
      <w:r>
        <w:t>NetworkPolicy ограничивает сетевые связи Pods, но не заменяет RBAC, TLS, identity приложения, image security или secrets. Сформулируйте активы и разрешённые потоки: ingress controller к backend, backend к database, Pod к DNS, monitoring к metrics. Политика должна быть проверяемым выражением этой модели, а не копией случайных CIDR.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Default deny</w:t>
      </w:r>
    </w:p>
    <w:p>
      <w:pPr>
        <w:spacing w:after="140" w:line="269" w:lineRule="auto"/>
      </w:pPr>
      <w:r>
        <w:t>Default deny выбирает все Pods namespace и включает PolicyTypes Ingress/Egress без разрешений. Это мощный базовый слой, но опасен без инвентаризации: ломаются DNS, image/identity endpoint, metrics, внешние API и межnamespace зависимости. Сначала подготовьте точные allow policies и наблюдение, затем включайте deny по ограниченной области.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Идентификация зависимостей</w:t>
      </w:r>
    </w:p>
    <w:p>
      <w:pPr>
        <w:spacing w:after="140" w:line="269" w:lineRule="auto"/>
      </w:pPr>
      <w:r>
        <w:t>Предпочитайте labels и namespace selectors для внутрикластерных сервисов, когда они отражают роль. ipBlock оставляйте для внешних сетей с устойчивыми CIDR. Не используйте IP Service как замену selector без понимания CNI: policy применяется к трафику на разных стадиях dataplane. Для database важны protocol/port и направление, а не только адрес.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Проверка эффекта</w:t>
      </w:r>
    </w:p>
    <w:p>
      <w:pPr>
        <w:spacing w:after="140" w:line="269" w:lineRule="auto"/>
      </w:pPr>
      <w:r>
        <w:t>Тест должен запускаться от того же ServiceAccount/namespace и идти из Pod, где реально возникает поток. Проверяйте DNS отдельно от TCP и прикладного HTTP/gRPC. Flow-observability CNI помогает найти verdict, но итоговый тест нужен для подтверждения. Сохраняйте baseline разрешённых потоков до rollout.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Инциденты и откат</w:t>
      </w:r>
    </w:p>
    <w:p>
      <w:pPr>
        <w:spacing w:after="140" w:line="269" w:lineRule="auto"/>
      </w:pPr>
      <w:r>
        <w:t>При массовом deny первым делом ограничьте blast radius и верните проверенный набор предыдущих манифестов. Не открывайте весь egress навсегда «до завтра»: после восстановления зафиксируйте недостающий поток и добавьте точное правило. Изменения policy проходят ревью так же, как firewall production-сети.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NetworkPolicy: https://kubernetes.io/docs/concepts/services-networking/network-policies/ . Cilium policy language: https://docs.cilium.io/en/stable/security/policy/ . Calico policy best practices: https://docs.tigera.io/calico/latest/network-policy/get-started/network-policy-best-practices.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NetworkPolicy не ограничивает hostNetwork Pods таким же образом во всех реализациях и не заменяет perimeter firewall. Трафик к API server, node-local сервисам, DNS и metadata endpoints требует отдельных решений. Для egress во внешнюю сеть уточните, видит ли policy исходный IP до или после NAT в вашем CNI, и избегайте предположений по чужой документации.</w:t>
      </w:r>
    </w:p>
    <w:p>
      <w:pPr>
        <w:pStyle w:val="Heading1"/>
      </w:pPr>
      <w:r>
        <w:t>Углубление: границы NetworkPolicy</w:t>
      </w:r>
    </w:p>
    <w:p>
      <w:pPr>
        <w:spacing w:after="140" w:line="269" w:lineRule="auto"/>
      </w:pPr>
      <w:r>
        <w:t>Тесты должны содержать позитивную и негативную проверку: допустимый backend доступен, недопустимый backend недоступен. Только позитивный curl не доказывает изоляцию. Фиксируйте protocol/port, потому что разрешение TCP 443 не разрешает UDP 53 и наоборот.</w:t>
      </w:r>
    </w:p>
    <w:p>
      <w:pPr>
        <w:spacing w:after="140" w:line="269" w:lineRule="auto"/>
      </w:pPr>
      <w:r>
        <w:t>Переход начинайте с режима наблюдения CNI и карты потоков за репрезентативный период. Для namespace создайте сначала allow DNS и все известные обязательные зависимости, протестируйте их от реальных Pods, затем добавляйте default deny в окно с rollback. Изменение namespace с сотнями workload не должно быть первой проверкой модели; начните с малого изолированного сервиса.</w:t>
      </w:r>
    </w:p>
    <w:p>
      <w:pPr>
        <w:pStyle w:val="Heading1"/>
      </w:pPr>
      <w:r>
        <w:t>Углубление: управляемый rollout default deny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