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Kubernetes: подробный учебный материал</w:t>
      </w:r>
    </w:p>
    <w:p>
      <w:pPr>
        <w:jc w:val="center"/>
      </w:pPr>
      <w:r>
        <w:rPr>
          <w:b/>
        </w:rPr>
        <w:t>Gateway API: HTTP-маршрутизация, TLS и политики</w:t>
      </w:r>
    </w:p>
    <w:p>
      <w:pPr>
        <w:spacing w:after="140" w:line="269" w:lineRule="auto"/>
      </w:pPr>
      <w:r>
        <w:t>Полная теоретическая лекция для инженера, который начинает работать с Kubernetes. Термины на английском приведены в скобках там, где они используются в API или официальной документации.</w:t>
      </w:r>
    </w:p>
    <w:p>
      <w:pPr>
        <w:pStyle w:val="Heading1"/>
      </w:pPr>
      <w:r>
        <w:t>HTTPRoute</w:t>
      </w:r>
    </w:p>
    <w:p>
      <w:pPr>
        <w:spacing w:after="140" w:line="269" w:lineRule="auto"/>
      </w:pPr>
      <w:r>
        <w:t>HTTPRoute сопоставляет hostnames и matches: path, headers, query parameters, method. Rules задают backendRefs и filters. Порядок и допустимые комбинации определяет спецификация/контроллер; не переносите предположение из NGINX Ingress. BackendRef должен указывать существующий Service и разрешённый port, иначе ResolvedRefs/status даст причину.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Разделение TLS</w:t>
      </w:r>
    </w:p>
    <w:p>
      <w:pPr>
        <w:spacing w:after="140" w:line="269" w:lineRule="auto"/>
      </w:pPr>
      <w:r>
        <w:t>TLS termination означает: Gateway принимает TLS, имеет сертификат Secret/certificateRef и передаёт HTTP backend. TLS passthrough оставляет TLS до backend и ограничивает L7-наблюдение/маршрутизацию. Выбор зависит от trust boundary, mTLS, требований приложения и возможностей controller. Сертификат — секретный материал: доступ и namespace references должны быть ограничены.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Cross-namespace ссылки</w:t>
      </w:r>
    </w:p>
    <w:p>
      <w:pPr>
        <w:spacing w:after="140" w:line="269" w:lineRule="auto"/>
      </w:pPr>
      <w:r>
        <w:t>ReferenceGrant позволяет владельцу целевого namespace явно разрешить ссылку от другого namespace на Service/Secret/другой ресурс. Это предотвращает ситуацию, когда один tenant публикует чужой backend. Отсутствие ReferenceGrant — корректный отказ, а не дефект Gateway; читайте ResolvedRefs и сообщения status.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Traffic filters и portability</w:t>
      </w:r>
    </w:p>
    <w:p>
      <w:pPr>
        <w:spacing w:after="140" w:line="269" w:lineRule="auto"/>
      </w:pPr>
      <w:r>
        <w:t>Redirect, URL rewrite, request/response header modification и traffic split должны быть сформулированы как явно тестируемые правила. Поддержка каждого filter зависит от Gateway implementation. Vendor-specific policy прикрепляйте только там, где стандарт не покрывает задачу, и фиксируйте зависимость в документации платформы.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TLS и проверки</w:t>
      </w:r>
    </w:p>
    <w:p>
      <w:pPr>
        <w:spacing w:after="140" w:line="269" w:lineRule="auto"/>
      </w:pPr>
      <w:r>
        <w:t>Проверяйте DNS, SNI, сертификат/цепочку, listener status, HTTPRoute Accepted/Programmed, Service endpoints и ответ backend. Успешная выдача адреса Gateway не доказывает, что certificate применён или Route прикреплён к нужному listener. Мониторьте expiry сертификатов, handshake errors, 4xx/5xx и latency.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spacing w:after="140" w:line="269" w:lineRule="auto"/>
      </w:pPr>
      <w:r>
        <w:t>HTTPRoute: https://gateway-api.sigs.k8s.io/api-types/httproute/ . ReferenceGrant: https://gateway-api.sigs.k8s.io/api-types/referencegrant/ . TLS guide: https://gateway-api.sigs.k8s.io/guides/tls/.</w:t>
      </w:r>
    </w:p>
    <w:p>
      <w:pPr>
        <w:pStyle w:val="Heading1"/>
      </w:pPr>
      <w:r>
        <w:t>Официальные источники для темы</w:t>
      </w:r>
    </w:p>
    <w:p>
      <w:pPr>
        <w:spacing w:after="140" w:line="269" w:lineRule="auto"/>
      </w:pPr>
      <w:r>
        <w:t>TLS termination делает сертификат доступным dataplane Gateway; это требует минимального доступа и ротации. ReferenceGrant явно открывает cross-namespace ссылку, например Route на backend Service. Его отсутствие — защита multi-tenancy, которую нельзя обходить выдачей широкого RBAC application team. Для сертификатной автоматизации проверьте issuer, secret lifecycle и policy допуска secret refs.</w:t>
      </w:r>
    </w:p>
    <w:p>
      <w:pPr>
        <w:pStyle w:val="Heading1"/>
      </w:pPr>
      <w:r>
        <w:t>Углубление: TLS и cross-namespace</w:t>
      </w:r>
    </w:p>
    <w:p>
      <w:pPr>
        <w:spacing w:after="140" w:line="269" w:lineRule="auto"/>
      </w:pPr>
      <w:r>
        <w:t>Filters меняют запрос/ответ на edge. Redirect и rewrite меняют контракт с клиентом, поэтому тестируйте canonical URL, заголовки, cookies и caching. Не превращайте Gateway в место скрытой прикладной логики: сложные auth/retry/transformation требуют явной платформенной политики и owners.</w:t>
      </w:r>
    </w:p>
    <w:p>
      <w:pPr>
        <w:spacing w:after="140" w:line="269" w:lineRule="auto"/>
      </w:pPr>
      <w:r>
        <w:t>HTTPRoute может сопоставлять hostname, path, header, query и method. Правило должно быть минимальным и однозначным: слишком общий path или hostname перехватывает трафик другого приложения. backendRefs задают веса для traffic split; сумма и поддержка правил определяются спецификацией/реализацией. При ошибке смотрите route status, backend Service/port и EndpointSlice, прежде чем отлаживать HTTP-код приложения.</w:t>
      </w:r>
    </w:p>
    <w:p>
      <w:pPr>
        <w:pStyle w:val="Heading1"/>
      </w:pPr>
      <w:r>
        <w:t>Углубление: route matching и backends</w:t>
      </w:r>
    </w:p>
    <w:p>
      <w:pPr>
        <w:pStyle w:val="Heading1"/>
      </w:pPr>
      <w:r>
        <w:t>Домашняя практика</w:t>
      </w:r>
    </w:p>
    <w:p>
      <w:pPr>
        <w:spacing w:after="140" w:line="269" w:lineRule="auto"/>
      </w:pPr>
      <w:r>
        <w:t>В учебном кластере создайте минимальный пример рассматриваемой сущности. До apply выполните server-side dry-run и diff. После применения сохраните YAML, describe, events и логи. Внесите одну намеренную ошибку и объясните, какой компонент и какая condition показывают её причину. Production-секреты и данные в упражнении не используйте.</w:t>
      </w:r>
    </w:p>
    <w:p>
      <w:pPr>
        <w:pStyle w:val="Heading1"/>
      </w:pPr>
      <w:r>
        <w:t>Вопросы для закрепления</w:t>
      </w:r>
    </w:p>
    <w:p>
      <w:pPr>
        <w:spacing w:after="140" w:line="269" w:lineRule="auto"/>
      </w:pPr>
      <w:r>
        <w:t>1. Какой API-объект является главным в этой теме?</w:t>
      </w:r>
    </w:p>
    <w:p>
      <w:pPr>
        <w:spacing w:after="140" w:line="269" w:lineRule="auto"/>
      </w:pPr>
      <w:r>
        <w:t>2. Что находится в spec, а что в status?</w:t>
      </w:r>
    </w:p>
    <w:p>
      <w:pPr>
        <w:spacing w:after="140" w:line="269" w:lineRule="auto"/>
      </w:pPr>
      <w:r>
        <w:t>3. Какой контроллер согласует состояние?</w:t>
      </w:r>
    </w:p>
    <w:p>
      <w:pPr>
        <w:spacing w:after="140" w:line="269" w:lineRule="auto"/>
      </w:pPr>
      <w:r>
        <w:t>4. Какая condition подтверждает нужный этап?</w:t>
      </w:r>
    </w:p>
    <w:p>
      <w:pPr>
        <w:spacing w:after="140" w:line="269" w:lineRule="auto"/>
      </w:pPr>
      <w:r>
        <w:t>5. Какой путь проходит операция от YAML до результата?</w:t>
      </w:r>
    </w:p>
    <w:p>
      <w:pPr>
        <w:spacing w:after="140" w:line="269" w:lineRule="auto"/>
      </w:pPr>
      <w:r>
        <w:t>6. Какая ошибка характерна для неверной конфигурации?</w:t>
      </w:r>
    </w:p>
    <w:p>
      <w:pPr>
        <w:spacing w:after="140" w:line="269" w:lineRule="auto"/>
      </w:pPr>
      <w:r>
        <w:t>7. Почему повтор операции должен быть безопасен?</w:t>
      </w:r>
    </w:p>
    <w:p>
      <w:pPr>
        <w:spacing w:after="140" w:line="269" w:lineRule="auto"/>
      </w:pPr>
      <w:r>
        <w:t>8. Какая внешняя зависимость здесь критична?</w:t>
      </w:r>
    </w:p>
    <w:p>
      <w:pPr>
        <w:spacing w:after="140" w:line="269" w:lineRule="auto"/>
      </w:pPr>
      <w:r>
        <w:t>9. Как подтвердить пользовательский результат?</w:t>
      </w:r>
    </w:p>
    <w:p>
      <w:pPr>
        <w:spacing w:after="140" w:line="269" w:lineRule="auto"/>
      </w:pPr>
      <w:r>
        <w:t>10. Что сохранить в runbook для следующей диагностики?</w:t>
      </w:r>
    </w:p>
    <w:p>
      <w:pPr>
        <w:pStyle w:val="Heading1"/>
      </w:pPr>
      <w:r>
        <w:t>Официальные источники и дальнейшее чтение</w:t>
      </w:r>
    </w:p>
    <w:p>
      <w:pPr>
        <w:spacing w:after="140" w:line="269" w:lineRule="auto"/>
      </w:pPr>
      <w:r>
        <w:t>Kubernetes API: https://kubernetes.io/docs/reference/using-api/</w:t>
      </w:r>
    </w:p>
    <w:p>
      <w:pPr>
        <w:spacing w:after="140" w:line="269" w:lineRule="auto"/>
      </w:pPr>
      <w:r>
        <w:t>Workloads: https://kubernetes.io/docs/concepts/workloads/</w:t>
      </w:r>
    </w:p>
    <w:p>
      <w:pPr>
        <w:spacing w:after="140" w:line="269" w:lineRule="auto"/>
      </w:pPr>
      <w:r>
        <w:t>Сеть: https://kubernetes.io/docs/concepts/services-networking/</w:t>
      </w:r>
    </w:p>
    <w:p>
      <w:pPr>
        <w:spacing w:after="140" w:line="269" w:lineRule="auto"/>
      </w:pPr>
      <w:r>
        <w:t>Хранилище: https://kubernetes.io/docs/concepts/storage/</w:t>
      </w:r>
    </w:p>
    <w:p>
      <w:pPr>
        <w:spacing w:after="140" w:line="269" w:lineRule="auto"/>
      </w:pPr>
      <w:r>
        <w:t>Планирование: https://kubernetes.io/docs/concepts/scheduling-eviction/</w:t>
      </w:r>
    </w:p>
    <w:p>
      <w:pPr>
        <w:spacing w:after="140" w:line="269" w:lineRule="auto"/>
      </w:pPr>
      <w:r>
        <w:t>Безопасность: https://kubernetes.io/docs/concepts/security/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