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Gateway API: L4, gRPC и безопасная миграция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L4 и L7</w:t>
      </w:r>
    </w:p>
    <w:p>
      <w:pPr>
        <w:spacing w:after="140" w:line="269" w:lineRule="auto"/>
      </w:pPr>
      <w:r>
        <w:t>TCPRoute направляет непрозрачный TCP-поток, UDPRoute — UDP, TLSRoute маршрутизирует TLS по SNI без termination при поддержке implementation. HTTPRoute/GRPCRoute работают на L7 и могут использовать правила протокола. Выбор уровня определяет, где заканчивается TLS, какие метрики доступны и можно ли выполнять header/path routing.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GRPCRoute</w:t>
      </w:r>
    </w:p>
    <w:p>
      <w:pPr>
        <w:spacing w:after="140" w:line="269" w:lineRule="auto"/>
      </w:pPr>
      <w:r>
        <w:t>gRPC использует HTTP/2, service/method и длительные потоки. GRPCRoute выражает соответствующие сопоставления, если поддержан controller. Перед rollout проверьте h2c/TLS, health semantics, deadlines, streaming и retries: агрессивный retry небезопасен для неидемпотентного RPC.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Миграция с Ingress</w:t>
      </w:r>
    </w:p>
    <w:p>
      <w:pPr>
        <w:spacing w:after="140" w:line="269" w:lineRule="auto"/>
      </w:pPr>
      <w:r>
        <w:t>Соберите инвентарь Ingress: class, host/path, annotations, TLS, backend, canary, external auth, source IP и timeouts. Классифицируйте каждую функцию как стандарт Gateway API, policy реализации или отдельный компонент. Создайте Gateway/Routes параллельно, но не делите один hostname между разными dataplane без ясного планирования DNS и сертификатов.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Проверка и переключение</w:t>
      </w:r>
    </w:p>
    <w:p>
      <w:pPr>
        <w:spacing w:after="140" w:line="269" w:lineRule="auto"/>
      </w:pPr>
      <w:r>
        <w:t>Проверяйте маршрут по отдельному тестовому hostname или контролируемому клиенту, включая DNS, TLS, заголовки, auth, response body и long-lived connections. После подтверждения переключайте DNS/балансировщик с учётом TTL и connection draining. Rollback должен возвращать предыдущую точку входа без потери сертификата и секретов.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Эксплуатационная граница</w:t>
      </w:r>
    </w:p>
    <w:p>
      <w:pPr>
        <w:spacing w:after="140" w:line="269" w:lineRule="auto"/>
      </w:pPr>
      <w:r>
        <w:t>Gateway controller, external LoadBalancer, cert-manager, DNS и backend Service образуют одну цепочку. Alert только на Pod controller недостаточен: нужны readiness listeners, route status, адреса, TLS, upstream errors и saturation. Обновление CRD/controller требует проверки API version, совместимости policies и сохранения rollback-артефактов.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Gateway API migration: https://gateway-api.sigs.k8s.io/guides/migrating-from-ingress/ . GRPCRoute: https://gateway-api.sigs.k8s.io/api-types/grpcroute/ . TCPRoute: https://gateway-api.sigs.k8s.io/api-types/tcproute/.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Rollback должен быть подготовлен до cutover: предыдущий DNS/LB маршрут, сертификаты, сохранённый Ingress/values, критерий отмены и владелец решения. После переключения наблюдайте route conditions, TLS errors, 4xx/5xx, latency, connection count и результаты реальных клиентов.</w:t>
      </w:r>
    </w:p>
    <w:p>
      <w:pPr>
        <w:spacing w:after="140" w:line="269" w:lineRule="auto"/>
      </w:pPr>
      <w:r>
        <w:t>Составьте таблицу поведения старого Ingress: class, hostname, path, TLS, annotations, auth, rate limit, source IP, timeout, canary, backend и внешние DNS/LB. Для каждой строки укажите стандарт Gateway API, implementation policy или отдельный компонент. Сначала поднимите параллельный listener/test hostname, затем выполните синтетические и прикладные проверки, после чего контролируемо переключайте DNS с учётом TTL и draining.</w:t>
      </w:r>
    </w:p>
    <w:p>
      <w:pPr>
        <w:pStyle w:val="Heading1"/>
      </w:pPr>
      <w:r>
        <w:t>Углубление: план миграции</w:t>
      </w:r>
    </w:p>
    <w:p>
      <w:pPr>
        <w:spacing w:after="140" w:line="269" w:lineRule="auto"/>
      </w:pPr>
      <w:r>
        <w:t>Retries на edge не нейтральны: повтор POST или неидемпотентного RPC создаёт двойную операцию. Ограничивайте retry только случаями, которые безопасны и понятны приложению, а timeout согласуйте с client deadlines и backend.</w:t>
      </w:r>
    </w:p>
    <w:p>
      <w:pPr>
        <w:spacing w:after="140" w:line="269" w:lineRule="auto"/>
      </w:pPr>
      <w:r>
        <w:t>TCPRoute не знает HTTP headers и не может выбирать path; TLSRoute использует SNI, но не расшифровывает поток; HTTPRoute/GRPCRoute видят L7 только после подходящего TLS-режима. Выбирайте самый низкий уровень, который решает задачу, чтобы не добавлять proxy и хранение сертификатов без причины. Для gRPC проверяйте HTTP/2, streaming, deadlines и response semantics.</w:t>
      </w:r>
    </w:p>
    <w:p>
      <w:pPr>
        <w:pStyle w:val="Heading1"/>
      </w:pPr>
      <w:r>
        <w:t>Углубление: протокол и семантика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