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 xml:space="preserve">Здраствуйте, с вами Portentum. Это маленький документ который описывает основные различия стиля ToT от стиля TNO. Очень сильно рекомендуется прочитать файл до создания портретов, иконок и суперивентов.</w:t>
        <w:br w:type="textWrapping"/>
        <w:br w:type="textWrapping"/>
      </w:r>
      <w:r w:rsidDel="00000000" w:rsidR="00000000" w:rsidRPr="00000000">
        <w:rPr>
          <w:b w:val="1"/>
          <w:sz w:val="60"/>
          <w:szCs w:val="60"/>
          <w:rtl w:val="0"/>
        </w:rPr>
        <w:t xml:space="preserve">ПОРТРЕТЫ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Портреты ToT сделаны в стиле TNO. Главное различие состоит в специальном шаблоне. Так как шаблон делает портреты темнее, рекомендуется делать их слегка светлее.</w:t>
        <w:br w:type="textWrapping"/>
        <w:t xml:space="preserve">Как правильно вставлять портрет в шаблон?</w:t>
        <w:br w:type="textWrapping"/>
        <w:t xml:space="preserve">Шаг первый: вставляем портрет под Layer 4.</w:t>
        <w:br w:type="textWrapping"/>
        <w:t xml:space="preserve">Шаг второй: делаем копию портрета и добавляем гаусс.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Шаг третий: не забываем вернуть clipping mask для Layer 4 и Layer 3 который удаляется из за копирования портрета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3620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86025" cy="2362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2305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ИКОНКИ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Иконки тоже создаются в стиле TNO. Главные различия это немного другие настройки эффектов(которые можно достать из psd в папке icons):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специальные настройки Lighting Effects. Чтобы получить возможность ими пользоваться надо зайти в psd иконок который находятся в папке Icons(также можно пользоваться фреймами из этих файлов) и дважды нажать на Lighting Effects в списке эффектов и нажать Enter после открытия специального окна. После этого специальные настройки Lighting Effects сохранятся.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8477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Также рекомендуется делать насыщенность ассетов ниже на 60-80 единиц пользоваться фотошопом 2021 года.</w:t>
      </w:r>
    </w:p>
    <w:p w:rsidR="00000000" w:rsidDel="00000000" w:rsidP="00000000" w:rsidRDefault="00000000" w:rsidRPr="00000000" w14:paraId="0000000F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СУПЕРИВЕНТЫ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Порядок идеологий можно увидеть в диаграмме шаблона. Для фракций нужно сначала использовать темные цвета, потом более светлее. Для редактирования самого суперивента надо дважды нажать на изображение указанное красным цветом на изображении снизу.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323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То же самое относиться к надписи названия суперивента. После редактирования надо закрыть файл и сохранить изменения.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Шрифты: Fifaks 1.0 dev1 для всего кроме названий суперивента и газеты и Balkara Condensed для названий суперивента и газеты.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