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техническое-задание"/>
    <w:p>
      <w:pPr>
        <w:pStyle w:val="Heading1"/>
      </w:pPr>
      <w:r>
        <w:t xml:space="preserve">ТЕХНИЧЕСКОЕ ЗАДАНИЕ</w:t>
      </w:r>
    </w:p>
    <w:bookmarkStart w:id="21" w:name="Xe5d0879054b8c51cfaf14dc72559046981f4fa7"/>
    <w:p>
      <w:pPr>
        <w:pStyle w:val="Heading2"/>
      </w:pPr>
      <w:r>
        <w:t xml:space="preserve">НА РАЗРАБОТКУ ПРОГРАММНО-ОПРЕДЕЛЯЕМОГО РАДИОПРИЕМНИКА ПРЯМОГО ПРЕОБРАЗОВАНИЯ (ZERO-IF SDR) «КРИСТАЛЛ-РАДИО»</w:t>
      </w:r>
    </w:p>
    <w:bookmarkStart w:id="20" w:name="X226e0404378030b3b2212090661199449de7fd9"/>
    <w:p>
      <w:pPr>
        <w:pStyle w:val="Heading3"/>
      </w:pPr>
      <w:r>
        <w:t xml:space="preserve">НА БАЗЕ МИКРОКОНТРОЛЛЕРА STM32F103C8T6 С КВАДРАТУРНЫМ I/Q-ТРАКТОМ И КОДОГЕНЕРИРУЕМОЙ АППАРАТНОЙ ЧАСТЬЮ</w:t>
      </w:r>
    </w:p>
    <w:p>
      <w:pPr>
        <w:pStyle w:val="FirstParagraph"/>
      </w:pPr>
      <w:r>
        <w:rPr>
          <w:b/>
          <w:bCs/>
        </w:rPr>
        <w:t xml:space="preserve">Шифр проекта:</w:t>
      </w:r>
      <w:r>
        <w:t xml:space="preserve"> </w:t>
      </w:r>
      <w:r>
        <w:t xml:space="preserve">«КРИСТАЛЛ-SDR»</w:t>
      </w:r>
    </w:p>
    <w:p>
      <w:pPr>
        <w:pStyle w:val="BodyText"/>
      </w:pPr>
      <w:r>
        <w:rPr>
          <w:b/>
          <w:bCs/>
        </w:rPr>
        <w:t xml:space="preserve">Стандарт оформления:</w:t>
      </w:r>
      <w:r>
        <w:t xml:space="preserve"> </w:t>
      </w:r>
      <w:r>
        <w:t xml:space="preserve">ГОСТ 2.105-95 / ГОСТ 19.201-78</w:t>
      </w:r>
      <w:r>
        <w:t xml:space="preserve"> </w:t>
      </w:r>
      <w:r>
        <w:rPr>
          <w:b/>
          <w:bCs/>
        </w:rPr>
        <w:t xml:space="preserve">Эквивалент:</w:t>
      </w:r>
      <w:r>
        <w:t xml:space="preserve"> </w:t>
      </w:r>
      <w:r>
        <w:t xml:space="preserve">ISO 5807:1985 / ISO/IEC TR 29115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1.1 (перевод изделия с акустооптической платформы «Brig Receiver» на архитектуру прямого преобразования; настоящая редакция описывает изделие «Кристалл-Радио»; добавлены требования к SNR и шуму REQ-36/REQ-37)</w:t>
      </w:r>
    </w:p>
    <w:p>
      <w:pPr>
        <w:pStyle w:val="BodyText"/>
      </w:pPr>
      <w:r>
        <w:rPr>
          <w:b/>
          <w:bCs/>
        </w:rPr>
        <w:t xml:space="preserve">Дата:</w:t>
      </w:r>
      <w:r>
        <w:t xml:space="preserve"> </w:t>
      </w:r>
      <w:r>
        <w:t xml:space="preserve">2026-10-13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общие-сведения"/>
    <w:p>
      <w:pPr>
        <w:pStyle w:val="Heading2"/>
      </w:pPr>
      <w:r>
        <w:t xml:space="preserve">1. ОБЩИЕ СВЕДЕНИЯ</w:t>
      </w:r>
    </w:p>
    <w:bookmarkStart w:id="22" w:name="наименование-изделия"/>
    <w:p>
      <w:pPr>
        <w:pStyle w:val="Heading3"/>
      </w:pPr>
      <w:r>
        <w:t xml:space="preserve">1.1. Наименование изделия</w:t>
      </w:r>
    </w:p>
    <w:p>
      <w:pPr>
        <w:pStyle w:val="FirstParagraph"/>
      </w:pPr>
      <w:r>
        <w:t xml:space="preserve">Программно-определяемый радиоприемник прямого преобразования (zero-IF / direct-conversion) «Кристалл-Радио» на микроконтроллере STM32F103C8T6 («Blue Pill», ядро Cortex-M3). Изделие относится к классу SDR-приемников с квадратурной оцифровкой (I/Q) и выносной обработкой сигнала на персональном компьютере.</w:t>
      </w:r>
    </w:p>
    <w:bookmarkEnd w:id="22"/>
    <w:bookmarkStart w:id="23" w:name="назначение"/>
    <w:p>
      <w:pPr>
        <w:pStyle w:val="Heading3"/>
      </w:pPr>
      <w:r>
        <w:t xml:space="preserve">1.2. Назначение</w:t>
      </w:r>
    </w:p>
    <w:p>
      <w:pPr>
        <w:pStyle w:val="FirstParagraph"/>
      </w:pPr>
      <w:r>
        <w:t xml:space="preserve">Прием радиосигналов в диапазоне коротких/высоких частот (HF, 0.5–30 МГц), перенос спектра непосредственно на нулевую промежуточную частоту (direct conversion), раздельное усиление и оцифровка квадратурных составляющих I и Q, передача потока IQ-отсчетов на хост-ПК по USB для демодуляции и панорамного отображения в программном обеспечении (SDR++, GNU Radio и аналоги).</w:t>
      </w:r>
    </w:p>
    <w:p>
      <w:pPr>
        <w:pStyle w:val="BodyText"/>
      </w:pPr>
      <w:r>
        <w:t xml:space="preserve">Изделие предназначено для:</w:t>
      </w:r>
      <w:r>
        <w:t xml:space="preserve"> </w:t>
      </w:r>
      <w:r>
        <w:t xml:space="preserve">- любительской радиосвязи и радионаблюдения в КВ-диапазоне;</w:t>
      </w:r>
      <w:r>
        <w:t xml:space="preserve"> </w:t>
      </w:r>
      <w:r>
        <w:t xml:space="preserve">- учебных и лабораторных задач по схемотехнике SDR;</w:t>
      </w:r>
      <w:r>
        <w:t xml:space="preserve"> </w:t>
      </w:r>
      <w:r>
        <w:t xml:space="preserve">- демонстрации методологии «код — источник истины» (code-first): схема, аналоговая модель, прошивка и антенны описываются кодом и верифицируются симуляцией.</w:t>
      </w:r>
    </w:p>
    <w:bookmarkEnd w:id="23"/>
    <w:bookmarkStart w:id="24" w:name="целевой-ориентир"/>
    <w:p>
      <w:pPr>
        <w:pStyle w:val="Heading3"/>
      </w:pPr>
      <w:r>
        <w:t xml:space="preserve">1.3. Целевой ориентир</w:t>
      </w:r>
    </w:p>
    <w:p>
      <w:pPr>
        <w:pStyle w:val="FirstParagraph"/>
      </w:pPr>
      <w:r>
        <w:t xml:space="preserve">Изделие должно обеспечивать ключевую функцию классического SDR-приемника — непрерывный квадратурный поток I/Q с подавлением зеркального канала, — средствами доступного микроконтроллера без внешнего квадратурного демодулятора, с полной воспроизводимостью и проверяемостью всей трассы сигнала (схема → netlist → аналоговая симуляция → сопряжение с прошивкой).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e4eb845244c7d170d52cf9005656b0642e7030"/>
    <w:p>
      <w:pPr>
        <w:pStyle w:val="Heading2"/>
      </w:pPr>
      <w:r>
        <w:t xml:space="preserve">2. ТЕХНИЧЕСКИЕ ПАРАМЕТРЫ И СРАВНИТЕЛЬНЫЕ ХАРАКТЕРИСТИКИ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08"/>
        <w:gridCol w:w="2747"/>
        <w:gridCol w:w="3475"/>
        <w:gridCol w:w="8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(RTL-SDR / HackRF 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Проектируемое изделие («Кристалл-Радио»)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входных рабочих частот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МГц — 1.7 ГГц (RTL-SDR)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 — 30 МГц (КВ/HF)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Р 52016-2003 / ITU-R SM.328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 приемника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супергетеродин / прямой синтез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прямое преобразование (zero-IF), квадратурный I/Q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Промежуточная 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 МГц (RTL-SDR)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 Гц (DC)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Микроконтроллер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+ ПЛИС/ASIC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STM32F103C8T6 (Cortex-M3, 72 МГц)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19480-89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АЦП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бит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бит, 2 канала (I/Q), до 1 MSPS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24736-81 / IEEE Std 1241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Квадратурный формирователь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аппаратный детектор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90°-фазовращатель на активном all-pass (H = 1 − 2/(1 + sRC))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Подавление зеркального канала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30…40 дБ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менее 30 дБ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Р 52016-2003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Разбаланс амплитуды I/Q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≤ 5 % (паспортно 0.965)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Фазовый разбаланс I/Q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≤ 10° (паспортно +91.6°)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Отношение сигнал/шум (SNR)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60 дБ</w:t>
            </w:r>
            <w:r>
              <w:t xml:space="preserve"> </w:t>
            </w:r>
            <w:r>
              <w:t xml:space="preserve">в полосе 2.7 кГц при −60 дБм; ≥ 10 дБ на 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Std 1057 / ITU-R SM.326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собственного шума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≤ −120 дБм</w:t>
            </w:r>
            <w:r>
              <w:t xml:space="preserve"> </w:t>
            </w:r>
            <w:r>
              <w:t xml:space="preserve">в полосе 2.7 кГц; MDS ≤ −110 дБм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ITU-R SM.326 / IEEE Std 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 к 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USB 2.0 Full-Speed (CDC, поток I/Q)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Элементная база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заказные СБИС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компонентов, 38 цепей (SKiDL, 2-слойная плата)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2.124-2014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Напряжение питания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В (USB)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В (USB), ток ≤ 500 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30326-95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Подтверждение работоспособности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 + 31 регрессионных проверок, FMI 2.0 сопряжение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отличие от акустооптической платформы («Brig Receiver») с промежуточной частотой 38 МГц и оптическим спектроанализатором, изделие «Кристалл-Радио» реализует классическую архитектуру прямого преобразования: ВЧ-сигнал смешивается с квадратурным гетеродином, а фильтрация и демодуляция выполняются цифровыми средствами на хосте.</w:t>
      </w:r>
    </w:p>
    <w:p>
      <w:r>
        <w:pict>
          <v:rect style="width:0;height:1.5pt" o:hralign="center" o:hrstd="t" o:hr="t"/>
        </w:pict>
      </w:r>
    </w:p>
    <w:bookmarkEnd w:id="26"/>
    <w:bookmarkStart w:id="36" w:name="Xdfe5066a6b1e4d21459fa44c7fd25ef647c3d89"/>
    <w:p>
      <w:pPr>
        <w:pStyle w:val="Heading2"/>
      </w:pPr>
      <w:r>
        <w:t xml:space="preserve">3. ТРЕБОВАНИЯ К КОНСТРУКТИВНЫМ И ФУНКЦИОНАЛЬНЫМ ПОДСИСТЕМАМ</w:t>
      </w:r>
    </w:p>
    <w:bookmarkStart w:id="30" w:name="антенная-система-кввч-0.530-мгц"/>
    <w:p>
      <w:pPr>
        <w:pStyle w:val="Heading3"/>
      </w:pPr>
      <w:r>
        <w:t xml:space="preserve">3.1. Антенная система (КВ/ВЧ, 0.5–30 МГц)</w:t>
      </w:r>
    </w:p>
    <w:bookmarkStart w:id="27" w:name="общие-требования-к-антенной-системе"/>
    <w:p>
      <w:pPr>
        <w:pStyle w:val="Heading4"/>
      </w:pPr>
      <w:r>
        <w:t xml:space="preserve">3.1.1. Общие требования к антенной системе</w:t>
      </w:r>
    </w:p>
    <w:p>
      <w:pPr>
        <w:pStyle w:val="Compact"/>
        <w:numPr>
          <w:ilvl w:val="0"/>
          <w:numId w:val="1001"/>
        </w:numPr>
      </w:pPr>
      <w:r>
        <w:t xml:space="preserve">Вход приемника рассчитан на подключение внешней антенны с волновым сопротивлением</w:t>
      </w:r>
      <w:r>
        <w:t xml:space="preserve"> </w:t>
      </w:r>
      <w:r>
        <w:rPr>
          <w:b/>
          <w:bCs/>
        </w:rPr>
        <w:t xml:space="preserve">50 Ом</w:t>
      </w:r>
      <w:r>
        <w:t xml:space="preserve"> </w:t>
      </w:r>
      <w:r>
        <w:t xml:space="preserve">(разъем SMA, ГОСТ 20275-91; допускается переход на SO-239).</w:t>
      </w:r>
    </w:p>
    <w:p>
      <w:pPr>
        <w:pStyle w:val="Compact"/>
        <w:numPr>
          <w:ilvl w:val="0"/>
          <w:numId w:val="1001"/>
        </w:numPr>
      </w:pPr>
      <w:r>
        <w:t xml:space="preserve">Антенный вход должен обеспечивать прием в полосе</w:t>
      </w:r>
      <w:r>
        <w:t xml:space="preserve"> </w:t>
      </w:r>
      <w:r>
        <w:rPr>
          <w:b/>
          <w:bCs/>
        </w:rPr>
        <w:t xml:space="preserve">0.5–30 МГц</w:t>
      </w:r>
      <w:r>
        <w:t xml:space="preserve"> </w:t>
      </w:r>
      <w:r>
        <w:t xml:space="preserve">без перестройки элементов согласования.</w:t>
      </w:r>
    </w:p>
    <w:p>
      <w:pPr>
        <w:pStyle w:val="Compact"/>
        <w:numPr>
          <w:ilvl w:val="0"/>
          <w:numId w:val="1001"/>
        </w:numPr>
      </w:pPr>
      <w:r>
        <w:t xml:space="preserve">Рекомендуемая (эталонная) антенна —</w:t>
      </w:r>
      <w:r>
        <w:t xml:space="preserve"> </w:t>
      </w:r>
      <w:r>
        <w:rPr>
          <w:b/>
          <w:bCs/>
        </w:rPr>
        <w:t xml:space="preserve">полуволновой симметричный диполь</w:t>
      </w:r>
      <w:r>
        <w:t xml:space="preserve"> </w:t>
      </w:r>
      <w:r>
        <w:t xml:space="preserve">с резонансом в рабочем участке КВ-диапазона; расчетная модель диполя 7 МГц верифицирована методом конечных разностей во временной области (openEMS FDTD).</w:t>
      </w:r>
    </w:p>
    <w:p>
      <w:pPr>
        <w:pStyle w:val="Compact"/>
        <w:numPr>
          <w:ilvl w:val="0"/>
          <w:numId w:val="1001"/>
        </w:numPr>
      </w:pPr>
      <w:r>
        <w:t xml:space="preserve">Для широкополосного приема допускается применение активной рамочной антенны (active loop) с питанием по коаксиальному кабелю.</w:t>
      </w:r>
    </w:p>
    <w:p>
      <w:pPr>
        <w:pStyle w:val="Compact"/>
        <w:numPr>
          <w:ilvl w:val="0"/>
          <w:numId w:val="1001"/>
        </w:numPr>
      </w:pPr>
      <w:r>
        <w:t xml:space="preserve">КСВН антенно-фидерного тракта — не более 2.0 в рабочей полосе.</w:t>
      </w:r>
    </w:p>
    <w:bookmarkEnd w:id="27"/>
    <w:bookmarkStart w:id="28" w:name="эталонная-антенна-канала-кв-диполь-7-мгц"/>
    <w:p>
      <w:pPr>
        <w:pStyle w:val="Heading4"/>
      </w:pPr>
      <w:r>
        <w:t xml:space="preserve">3.1.2. Эталонная антенна Канала КВ (диполь 7 МГц)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полуволновой линейный диполь.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Расчетная частота резонанса:</w:t>
      </w:r>
      <w:r>
        <w:t xml:space="preserve"> </w:t>
      </w:r>
      <w:r>
        <w:t xml:space="preserve">7.15 МГц (полоса любительского диапазона 40 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Результат полноволнового моделирования (openEMS FDTD):</w:t>
      </w:r>
      <w:r>
        <w:t xml:space="preserve"> </w:t>
      </w:r>
      <w:r>
        <w:t xml:space="preserve">f</w:t>
      </w:r>
      <w:r>
        <w:t xml:space="preserve">res</w:t>
      </w:r>
      <w:r>
        <w:t xml:space="preserve"> </w:t>
      </w:r>
      <w:r>
        <w:t xml:space="preserve">= 6.895 МГц, S11 = −15.7 дБ, КПД η</w:t>
      </w:r>
      <w:r>
        <w:t xml:space="preserve">rad</w:t>
      </w:r>
      <w:r>
        <w:t xml:space="preserve"> </w:t>
      </w:r>
      <w:r>
        <w:t xml:space="preserve">= 98 %.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Входное сопротивление:</w:t>
      </w:r>
      <w:r>
        <w:t xml:space="preserve"> </w:t>
      </w:r>
      <w:r>
        <w:t xml:space="preserve">50 Ом (симметризация — балун 1:1).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hardware/antenna/band_a/task.md</w:t>
      </w:r>
      <w:r>
        <w:t xml:space="preserve">; модель —</w:t>
      </w:r>
      <w:r>
        <w:t xml:space="preserve"> </w:t>
      </w:r>
      <w:r>
        <w:rPr>
          <w:rStyle w:val="VerbatimChar"/>
        </w:rPr>
        <w:t xml:space="preserve">sim/inputs/antenna_dipole_7mhz.yaml</w:t>
      </w:r>
      <w:r>
        <w:t xml:space="preserve">.</w:t>
      </w:r>
    </w:p>
    <w:bookmarkEnd w:id="28"/>
    <w:bookmarkStart w:id="29" w:name="верификация-антенной-системы"/>
    <w:p>
      <w:pPr>
        <w:pStyle w:val="Heading4"/>
      </w:pPr>
      <w:r>
        <w:t xml:space="preserve">3.1.3. Верификация антенной системы</w:t>
      </w:r>
    </w:p>
    <w:p>
      <w:pPr>
        <w:pStyle w:val="Compact"/>
        <w:numPr>
          <w:ilvl w:val="0"/>
          <w:numId w:val="1003"/>
        </w:numPr>
      </w:pPr>
      <w:r>
        <w:t xml:space="preserve">Все антенные модели рассчитываются в реальном решателе openEMS (</w:t>
      </w:r>
      <w:r>
        <w:rPr>
          <w:rStyle w:val="VerbatimChar"/>
        </w:rPr>
        <w:t xml:space="preserve">fdtd: true</w:t>
      </w:r>
      <w:r>
        <w:t xml:space="preserve"> </w:t>
      </w:r>
      <w:r>
        <w:t xml:space="preserve">в YAML).</w:t>
      </w:r>
    </w:p>
    <w:p>
      <w:pPr>
        <w:pStyle w:val="Compact"/>
        <w:numPr>
          <w:ilvl w:val="0"/>
          <w:numId w:val="1003"/>
        </w:numPr>
      </w:pPr>
      <w:r>
        <w:t xml:space="preserve">Результаты (S11, Z</w:t>
      </w:r>
      <w:r>
        <w:t xml:space="preserve">in</w:t>
      </w:r>
      <w:r>
        <w:t xml:space="preserve">, КПД) сохраняются в</w:t>
      </w:r>
      <w:r>
        <w:t xml:space="preserve"> </w:t>
      </w:r>
      <w:r>
        <w:rPr>
          <w:rStyle w:val="VerbatimChar"/>
        </w:rPr>
        <w:t xml:space="preserve">sim/outputs/*.json</w:t>
      </w:r>
      <w:r>
        <w:t xml:space="preserve"> </w:t>
      </w:r>
      <w:r>
        <w:t xml:space="preserve">и экспортируются в S-параметры ngspice.</w:t>
      </w:r>
    </w:p>
    <w:p>
      <w:pPr>
        <w:pStyle w:val="Compact"/>
        <w:numPr>
          <w:ilvl w:val="0"/>
          <w:numId w:val="1003"/>
        </w:numPr>
      </w:pPr>
      <w:r>
        <w:t xml:space="preserve">Антенная система описывается кодом (YAML-файлы), добавление антенны не требует правки скриптов.</w:t>
      </w:r>
    </w:p>
    <w:bookmarkEnd w:id="29"/>
    <w:bookmarkEnd w:id="30"/>
    <w:bookmarkStart w:id="31" w:name="радиочастотный-тракт-rf-frontend"/>
    <w:p>
      <w:pPr>
        <w:pStyle w:val="Heading3"/>
      </w:pPr>
      <w:r>
        <w:t xml:space="preserve">3.2. Радиочастотный тракт (RF Frontend)</w:t>
      </w:r>
    </w:p>
    <w:p>
      <w:pPr>
        <w:pStyle w:val="Compact"/>
        <w:numPr>
          <w:ilvl w:val="0"/>
          <w:numId w:val="1004"/>
        </w:numPr>
      </w:pPr>
      <w:r>
        <w:t xml:space="preserve">Входное сопротивление ВЧ-порта:</w:t>
      </w:r>
      <w:r>
        <w:t xml:space="preserve"> </w:t>
      </w:r>
      <w:r>
        <w:rPr>
          <w:b/>
          <w:bCs/>
        </w:rPr>
        <w:t xml:space="preserve">50 Ом</w:t>
      </w:r>
      <w:r>
        <w:t xml:space="preserve">, разъем SMA (ГОСТ 20275-91).</w:t>
      </w:r>
    </w:p>
    <w:p>
      <w:pPr>
        <w:pStyle w:val="Compact"/>
        <w:numPr>
          <w:ilvl w:val="0"/>
          <w:numId w:val="1004"/>
        </w:numPr>
      </w:pPr>
      <w:r>
        <w:t xml:space="preserve">ВЧ-тракт должен содержать:</w:t>
      </w:r>
    </w:p>
    <w:p>
      <w:pPr>
        <w:pStyle w:val="Compact"/>
        <w:numPr>
          <w:ilvl w:val="1"/>
          <w:numId w:val="1005"/>
        </w:numPr>
      </w:pPr>
      <w:r>
        <w:t xml:space="preserve">коммутируемый блок преселекторов (ФНЧ/полосовые фильтры КВ-диапазона) для подавления внеполосных сигналов;</w:t>
      </w:r>
    </w:p>
    <w:p>
      <w:pPr>
        <w:pStyle w:val="Compact"/>
        <w:numPr>
          <w:ilvl w:val="1"/>
          <w:numId w:val="1005"/>
        </w:numPr>
      </w:pPr>
      <w:r>
        <w:t xml:space="preserve">малошумящий усилитель (LNA) с защитой от перегрузки и регулировкой усиления (управляющий вход</w:t>
      </w:r>
      <w:r>
        <w:t xml:space="preserve"> </w:t>
      </w:r>
      <w:r>
        <w:rPr>
          <w:b/>
          <w:bCs/>
        </w:rPr>
        <w:t xml:space="preserve">PA7 / GAIN</w:t>
      </w:r>
      <w:r>
        <w:t xml:space="preserve">);</w:t>
      </w:r>
    </w:p>
    <w:p>
      <w:pPr>
        <w:pStyle w:val="Compact"/>
        <w:numPr>
          <w:ilvl w:val="1"/>
          <w:numId w:val="1005"/>
        </w:numPr>
      </w:pPr>
      <w:r>
        <w:t xml:space="preserve">квадратурный смеситель прямого преобразования.</w:t>
      </w:r>
    </w:p>
    <w:p>
      <w:pPr>
        <w:pStyle w:val="Compact"/>
        <w:numPr>
          <w:ilvl w:val="0"/>
          <w:numId w:val="1004"/>
        </w:numPr>
      </w:pPr>
      <w:r>
        <w:t xml:space="preserve">Коэффициент шума тракта — не более</w:t>
      </w:r>
      <w:r>
        <w:t xml:space="preserve"> </w:t>
      </w:r>
      <w:r>
        <w:rPr>
          <w:b/>
          <w:bCs/>
        </w:rPr>
        <w:t xml:space="preserve">3.5 дБ</w:t>
      </w:r>
      <w:r>
        <w:t xml:space="preserve"> </w:t>
      </w:r>
      <w:r>
        <w:t xml:space="preserve">(REQ-04).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Отношение сигнал/шум (SNR)</w:t>
      </w:r>
      <w:r>
        <w:t xml:space="preserve"> </w:t>
      </w:r>
      <w:r>
        <w:t xml:space="preserve">— не менее</w:t>
      </w:r>
      <w:r>
        <w:t xml:space="preserve"> </w:t>
      </w:r>
      <w:r>
        <w:rPr>
          <w:b/>
          <w:bCs/>
        </w:rPr>
        <w:t xml:space="preserve">60 дБ</w:t>
      </w:r>
      <w:r>
        <w:t xml:space="preserve"> </w:t>
      </w:r>
      <w:r>
        <w:t xml:space="preserve">в полосе 2.7 кГц при входном уровне −60 дБм (REQ-36).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Уровень собственного шума</w:t>
      </w:r>
      <w:r>
        <w:t xml:space="preserve"> </w:t>
      </w:r>
      <w:r>
        <w:t xml:space="preserve">— не более</w:t>
      </w:r>
      <w:r>
        <w:t xml:space="preserve"> </w:t>
      </w:r>
      <w:r>
        <w:rPr>
          <w:b/>
          <w:bCs/>
        </w:rPr>
        <w:t xml:space="preserve">−120 дБм</w:t>
      </w:r>
      <w:r>
        <w:t xml:space="preserve"> </w:t>
      </w:r>
      <w:r>
        <w:t xml:space="preserve">в полосе 2.7 кГц; порог обнаружимости MDS — не менее</w:t>
      </w:r>
      <w:r>
        <w:t xml:space="preserve"> </w:t>
      </w:r>
      <w:r>
        <w:rPr>
          <w:b/>
          <w:bCs/>
        </w:rPr>
        <w:t xml:space="preserve">−110 дБм</w:t>
      </w:r>
      <w:r>
        <w:t xml:space="preserve"> </w:t>
      </w:r>
      <w:r>
        <w:t xml:space="preserve">при S+N/N = 10 дБ (REQ-37).</w:t>
      </w:r>
    </w:p>
    <w:p>
      <w:pPr>
        <w:pStyle w:val="Compact"/>
        <w:numPr>
          <w:ilvl w:val="0"/>
          <w:numId w:val="1004"/>
        </w:numPr>
      </w:pPr>
      <w:r>
        <w:t xml:space="preserve">Динамический диапазон по блокированию (SFDR) — не менее 70 дБ.</w:t>
      </w:r>
    </w:p>
    <w:p>
      <w:pPr>
        <w:pStyle w:val="Compact"/>
        <w:numPr>
          <w:ilvl w:val="0"/>
          <w:numId w:val="1004"/>
        </w:numPr>
      </w:pPr>
      <w:r>
        <w:t xml:space="preserve">LNA реализуется в виде транскондуктивной макромодели (не идеального источника напряжения) — требование методологии моделирования.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Ссылка на требование:</w:t>
      </w:r>
      <w:r>
        <w:t xml:space="preserve"> </w:t>
      </w:r>
      <w:r>
        <w:t xml:space="preserve">REQ-03, REQ-04, REQ-05, REQ-06, REQ-36, REQ-37.</w:t>
      </w:r>
    </w:p>
    <w:bookmarkEnd w:id="31"/>
    <w:bookmarkStart w:id="32" w:name="Xa9585b93e7b6e92a38efccdaef927baceb20a97"/>
    <w:p>
      <w:pPr>
        <w:pStyle w:val="Heading3"/>
      </w:pPr>
      <w:r>
        <w:t xml:space="preserve">3.3. Квадратурный гетеродин и формирователь I/Q (LO)</w:t>
      </w:r>
    </w:p>
    <w:p>
      <w:pPr>
        <w:pStyle w:val="Compact"/>
        <w:numPr>
          <w:ilvl w:val="0"/>
          <w:numId w:val="1006"/>
        </w:numPr>
      </w:pPr>
      <w:r>
        <w:t xml:space="preserve">Гетеродин формируется аппаратным таймером микроконтроллера (выход</w:t>
      </w:r>
      <w:r>
        <w:t xml:space="preserve"> </w:t>
      </w:r>
      <w:r>
        <w:rPr>
          <w:b/>
          <w:bCs/>
        </w:rPr>
        <w:t xml:space="preserve">PA6 / LO</w:t>
      </w:r>
      <w:r>
        <w:t xml:space="preserve">), частота синхронизирована с частотой дискретизации АЦП.</w:t>
      </w:r>
    </w:p>
    <w:p>
      <w:pPr>
        <w:pStyle w:val="Compact"/>
        <w:numPr>
          <w:ilvl w:val="0"/>
          <w:numId w:val="1006"/>
        </w:numPr>
      </w:pPr>
      <w:r>
        <w:t xml:space="preserve">Квадратурные составляющие LO формируются</w:t>
      </w:r>
      <w:r>
        <w:t xml:space="preserve"> </w:t>
      </w:r>
      <w:r>
        <w:rPr>
          <w:b/>
          <w:bCs/>
        </w:rPr>
        <w:t xml:space="preserve">реальным 90°-фазовращателем на активном all-pass</w:t>
      </w:r>
      <w:r>
        <w:t xml:space="preserve"> </w:t>
      </w:r>
      <w:r>
        <w:t xml:space="preserve">с передаточной функцией</w:t>
      </w:r>
      <w:r>
        <w:t xml:space="preserve"> </w:t>
      </w:r>
      <w:r>
        <w:rPr>
          <w:rStyle w:val="VerbatimChar"/>
        </w:rPr>
        <w:t xml:space="preserve">H(s) = 1 − 2/(1 + sRC)</w:t>
      </w:r>
      <w:r>
        <w:t xml:space="preserve">;</w:t>
      </w:r>
      <w:r>
        <w:t xml:space="preserve"> </w:t>
      </w:r>
      <w:r>
        <w:t xml:space="preserve">Q-канал не допускается закорачивать на нуль.</w:t>
      </w:r>
    </w:p>
    <w:p>
      <w:pPr>
        <w:pStyle w:val="Compact"/>
        <w:numPr>
          <w:ilvl w:val="0"/>
          <w:numId w:val="1006"/>
        </w:numPr>
      </w:pPr>
      <w:r>
        <w:t xml:space="preserve">Разбаланс амплитуды каналов I/Q — не более 5 %.</w:t>
      </w:r>
    </w:p>
    <w:p>
      <w:pPr>
        <w:pStyle w:val="Compact"/>
        <w:numPr>
          <w:ilvl w:val="0"/>
          <w:numId w:val="1006"/>
        </w:numPr>
      </w:pPr>
      <w:r>
        <w:t xml:space="preserve">Фазовый разбаланс I/Q — не более 10°.</w:t>
      </w:r>
    </w:p>
    <w:p>
      <w:pPr>
        <w:pStyle w:val="Compact"/>
        <w:numPr>
          <w:ilvl w:val="0"/>
          <w:numId w:val="1006"/>
        </w:numPr>
      </w:pPr>
      <w:r>
        <w:t xml:space="preserve">Подавление зеркального канала — не менее 30 дБ.</w:t>
      </w:r>
    </w:p>
    <w:p>
      <w:pPr>
        <w:pStyle w:val="Compact"/>
        <w:numPr>
          <w:ilvl w:val="0"/>
          <w:numId w:val="1006"/>
        </w:numPr>
      </w:pPr>
      <w:r>
        <w:t xml:space="preserve">Смеситель — zero-IF, с буферными каскадами на средней точке питания (mid-rail biasing).</w:t>
      </w:r>
    </w:p>
    <w:bookmarkEnd w:id="32"/>
    <w:bookmarkStart w:id="33" w:name="X60277279d5eb105c8d8b82b4241fc927274629e"/>
    <w:p>
      <w:pPr>
        <w:pStyle w:val="Heading3"/>
      </w:pPr>
      <w:r>
        <w:t xml:space="preserve">3.4. Тракт цифровой обработки сигналов (ЦОС / MCU)</w:t>
      </w:r>
    </w:p>
    <w:p>
      <w:pPr>
        <w:numPr>
          <w:ilvl w:val="0"/>
          <w:numId w:val="1007"/>
        </w:numPr>
      </w:pPr>
      <w:r>
        <w:t xml:space="preserve">Микроконтроллер:</w:t>
      </w:r>
      <w:r>
        <w:t xml:space="preserve"> </w:t>
      </w:r>
      <w:r>
        <w:rPr>
          <w:b/>
          <w:bCs/>
        </w:rPr>
        <w:t xml:space="preserve">STM32F103C8T6</w:t>
      </w:r>
      <w:r>
        <w:t xml:space="preserve"> </w:t>
      </w:r>
      <w:r>
        <w:t xml:space="preserve">(Cortex-M3, 72 МГц, 64 КБ Flash, 20 КБ ОЗУ).</w:t>
      </w:r>
    </w:p>
    <w:p>
      <w:pPr>
        <w:numPr>
          <w:ilvl w:val="0"/>
          <w:numId w:val="1007"/>
        </w:numPr>
      </w:pPr>
      <w:r>
        <w:t xml:space="preserve">АЦП: 12 бит, двухканальный, оцифровка I (PA0/ADC) и Q (PA1/ADC).</w:t>
      </w:r>
    </w:p>
    <w:p>
      <w:pPr>
        <w:numPr>
          <w:ilvl w:val="0"/>
          <w:numId w:val="1007"/>
        </w:numPr>
      </w:pPr>
      <w:r>
        <w:t xml:space="preserve">Передача отсчетов в ОЗУ — по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(без потери выборок).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Граница «аналог ↔ цифра» (контракт выводов):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— канал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— канал 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— выход гетеродина (таймер)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— управление усилением LNA</w:t>
            </w:r>
          </w:p>
        </w:tc>
      </w:tr>
    </w:tbl>
    <w:p>
      <w:pPr>
        <w:numPr>
          <w:ilvl w:val="0"/>
          <w:numId w:val="1007"/>
        </w:numPr>
      </w:pPr>
      <w:r>
        <w:t xml:space="preserve">Контракт выводов проверяется автоматически (</w:t>
      </w:r>
      <w:r>
        <w:rPr>
          <w:rStyle w:val="VerbatimChar"/>
        </w:rPr>
        <w:t xml:space="preserve">verify_pin_contract.py</w:t>
      </w:r>
      <w:r>
        <w:t xml:space="preserve">) и прошивкой (</w:t>
      </w:r>
      <w:r>
        <w:rPr>
          <w:rStyle w:val="VerbatimChar"/>
        </w:rPr>
        <w:t xml:space="preserve">firmware/src/firmware.ino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Передача IQ-потока на хост — по USB 2.0 (CDC).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Ссылка на требование:</w:t>
      </w:r>
      <w:r>
        <w:t xml:space="preserve"> </w:t>
      </w:r>
      <w:r>
        <w:t xml:space="preserve">REQ-31, REQ-32, REQ-33, REQ-34.</w:t>
      </w:r>
    </w:p>
    <w:bookmarkEnd w:id="33"/>
    <w:bookmarkStart w:id="34" w:name="тракт-питания"/>
    <w:p>
      <w:pPr>
        <w:pStyle w:val="Heading3"/>
      </w:pPr>
      <w:r>
        <w:t xml:space="preserve">3.5. Тракт питания</w:t>
      </w:r>
    </w:p>
    <w:p>
      <w:pPr>
        <w:pStyle w:val="Compact"/>
        <w:numPr>
          <w:ilvl w:val="0"/>
          <w:numId w:val="1008"/>
        </w:numPr>
      </w:pPr>
      <w:r>
        <w:t xml:space="preserve">Питание — от шины USB (5 В), ток потребления — не более 500 мА.</w:t>
      </w:r>
    </w:p>
    <w:p>
      <w:pPr>
        <w:pStyle w:val="Compact"/>
        <w:numPr>
          <w:ilvl w:val="0"/>
          <w:numId w:val="1008"/>
        </w:numPr>
      </w:pPr>
      <w:r>
        <w:t xml:space="preserve">Аналоговая часть (LNA, смеситель, LO-формирователь) питается через отдельный LDO-стабилизатор; цифровая — непосредственно от 5 В через LC-фильтр.</w:t>
      </w:r>
    </w:p>
    <w:p>
      <w:pPr>
        <w:pStyle w:val="Compact"/>
        <w:numPr>
          <w:ilvl w:val="0"/>
          <w:numId w:val="1008"/>
        </w:numPr>
      </w:pPr>
      <w:r>
        <w:t xml:space="preserve">Разводка питания — «звездой»; ВЧ-дроссели (ferrite beads, модель L + R постоянного сопротивления) на границе аналогового и цифрового доменов.</w:t>
      </w:r>
    </w:p>
    <w:p>
      <w:pPr>
        <w:pStyle w:val="Compact"/>
        <w:numPr>
          <w:ilvl w:val="0"/>
          <w:numId w:val="1008"/>
        </w:numPr>
      </w:pPr>
      <w:r>
        <w:t xml:space="preserve">Подавление пульсаций питания аналоговой части — не менее 40 дБ.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Ссылка на требование:</w:t>
      </w:r>
      <w:r>
        <w:t xml:space="preserve"> </w:t>
      </w:r>
      <w:r>
        <w:t xml:space="preserve">REQ-24.</w:t>
      </w:r>
    </w:p>
    <w:bookmarkEnd w:id="34"/>
    <w:bookmarkStart w:id="35" w:name="конструкция-и-экранирование"/>
    <w:p>
      <w:pPr>
        <w:pStyle w:val="Heading3"/>
      </w:pPr>
      <w:r>
        <w:t xml:space="preserve">3.6. Конструкция и экранирование</w:t>
      </w:r>
    </w:p>
    <w:p>
      <w:pPr>
        <w:pStyle w:val="Compact"/>
        <w:numPr>
          <w:ilvl w:val="0"/>
          <w:numId w:val="1009"/>
        </w:numPr>
      </w:pPr>
      <w:r>
        <w:t xml:space="preserve">Плата — двухслойная, печатная, элементарная база 60 компонентов / 38 цепей.</w:t>
      </w:r>
    </w:p>
    <w:p>
      <w:pPr>
        <w:pStyle w:val="Compact"/>
        <w:numPr>
          <w:ilvl w:val="0"/>
          <w:numId w:val="1009"/>
        </w:numPr>
      </w:pPr>
      <w:r>
        <w:t xml:space="preserve">Корпус — металлизированный (экранирование аналоговой части), стенки ≥ 1.5 мм.</w:t>
      </w:r>
    </w:p>
    <w:p>
      <w:pPr>
        <w:pStyle w:val="Compact"/>
        <w:numPr>
          <w:ilvl w:val="0"/>
          <w:numId w:val="1009"/>
        </w:numPr>
      </w:pPr>
      <w:r>
        <w:t xml:space="preserve">Аналоговый и цифровой домены разнесены (zoning) на печатной плате.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Ссылка на требование:</w:t>
      </w:r>
      <w:r>
        <w:t xml:space="preserve"> </w:t>
      </w:r>
      <w:r>
        <w:t xml:space="preserve">REQ-21, REQ-25.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b74086876347c1f6e35a6a4f2037ec6104cae2b"/>
    <w:p>
      <w:pPr>
        <w:pStyle w:val="Heading2"/>
      </w:pPr>
      <w:r>
        <w:t xml:space="preserve">4. КЛИМАТИЧЕСКИЕ И МЕХАНИЧЕСКИЕ УСЛОВИЯ ЭКСПЛУАТАЦИИ</w:t>
      </w:r>
    </w:p>
    <w:bookmarkStart w:id="37" w:name="климатические-условия"/>
    <w:p>
      <w:pPr>
        <w:pStyle w:val="Heading3"/>
      </w:pPr>
      <w:r>
        <w:t xml:space="preserve">4.1. Климатические условия</w:t>
      </w:r>
    </w:p>
    <w:p>
      <w:pPr>
        <w:pStyle w:val="Compact"/>
        <w:numPr>
          <w:ilvl w:val="0"/>
          <w:numId w:val="1010"/>
        </w:numPr>
      </w:pPr>
      <w:r>
        <w:t xml:space="preserve">Рабочая температура:</w:t>
      </w:r>
      <w:r>
        <w:t xml:space="preserve"> </w:t>
      </w:r>
      <w:r>
        <w:rPr>
          <w:b/>
          <w:bCs/>
        </w:rPr>
        <w:t xml:space="preserve">+15 … +30 °C</w:t>
      </w:r>
      <w:r>
        <w:t xml:space="preserve"> </w:t>
      </w:r>
      <w:r>
        <w:t xml:space="preserve">(лабораторные условия) — REQ-16.</w:t>
      </w:r>
    </w:p>
    <w:p>
      <w:pPr>
        <w:pStyle w:val="Compact"/>
        <w:numPr>
          <w:ilvl w:val="0"/>
          <w:numId w:val="1010"/>
        </w:numPr>
      </w:pPr>
      <w:r>
        <w:t xml:space="preserve">Предельная температура эксплуатации:</w:t>
      </w:r>
      <w:r>
        <w:t xml:space="preserve"> </w:t>
      </w:r>
      <w:r>
        <w:rPr>
          <w:b/>
          <w:bCs/>
        </w:rPr>
        <w:t xml:space="preserve">−40 … +50 °C</w:t>
      </w:r>
      <w:r>
        <w:t xml:space="preserve"> </w:t>
      </w:r>
      <w:r>
        <w:t xml:space="preserve">— REQ-17.</w:t>
      </w:r>
    </w:p>
    <w:p>
      <w:pPr>
        <w:pStyle w:val="Compact"/>
        <w:numPr>
          <w:ilvl w:val="0"/>
          <w:numId w:val="1010"/>
        </w:numPr>
      </w:pPr>
      <w:r>
        <w:t xml:space="preserve">Относительная влажность:</w:t>
      </w:r>
      <w:r>
        <w:t xml:space="preserve"> </w:t>
      </w:r>
      <w:r>
        <w:rPr>
          <w:b/>
          <w:bCs/>
        </w:rPr>
        <w:t xml:space="preserve">не более 80 %</w:t>
      </w:r>
      <w:r>
        <w:t xml:space="preserve"> </w:t>
      </w:r>
      <w:r>
        <w:t xml:space="preserve">при +25 °C — REQ-18.</w:t>
      </w:r>
    </w:p>
    <w:p>
      <w:pPr>
        <w:pStyle w:val="Compact"/>
        <w:numPr>
          <w:ilvl w:val="0"/>
          <w:numId w:val="1010"/>
        </w:numPr>
      </w:pPr>
      <w:r>
        <w:t xml:space="preserve">При использовании прецизионных узлов согласования допускается активная термостабилизация — REQ-19.</w:t>
      </w:r>
    </w:p>
    <w:bookmarkEnd w:id="37"/>
    <w:bookmarkStart w:id="38" w:name="механические-условия"/>
    <w:p>
      <w:pPr>
        <w:pStyle w:val="Heading3"/>
      </w:pPr>
      <w:r>
        <w:t xml:space="preserve">4.2. Механические условия</w:t>
      </w:r>
    </w:p>
    <w:p>
      <w:pPr>
        <w:pStyle w:val="Compact"/>
        <w:numPr>
          <w:ilvl w:val="0"/>
          <w:numId w:val="1011"/>
        </w:numPr>
      </w:pPr>
      <w:r>
        <w:t xml:space="preserve">Вибрация: 10–55 Гц, амплитуда до 0.35 мм — REQ-20.</w:t>
      </w:r>
    </w:p>
    <w:p>
      <w:pPr>
        <w:pStyle w:val="Compact"/>
        <w:numPr>
          <w:ilvl w:val="0"/>
          <w:numId w:val="1011"/>
        </w:numPr>
      </w:pPr>
      <w:r>
        <w:t xml:space="preserve">Механическая прочность — по ГОСТ 23216-78.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электромагнитная-совместимость-эмс"/>
    <w:p>
      <w:pPr>
        <w:pStyle w:val="Heading2"/>
      </w:pPr>
      <w:r>
        <w:t xml:space="preserve">5. ЭЛЕКТРОМАГНИТНАЯ СОВМЕСТИМОСТЬ (ЭМС)</w:t>
      </w:r>
    </w:p>
    <w:p>
      <w:pPr>
        <w:pStyle w:val="Compact"/>
        <w:numPr>
          <w:ilvl w:val="0"/>
          <w:numId w:val="1012"/>
        </w:numPr>
      </w:pPr>
      <w:r>
        <w:t xml:space="preserve">Экранирование корпуса должно снижать излучение цифровой части — REQ-21.</w:t>
      </w:r>
    </w:p>
    <w:p>
      <w:pPr>
        <w:pStyle w:val="Compact"/>
        <w:numPr>
          <w:ilvl w:val="0"/>
          <w:numId w:val="1012"/>
        </w:numPr>
      </w:pPr>
      <w:r>
        <w:t xml:space="preserve">Иммунитет к внешним помехам — не ниже требований ГОСТ Р 51317 — REQ-22.</w:t>
      </w:r>
    </w:p>
    <w:p>
      <w:pPr>
        <w:pStyle w:val="Compact"/>
        <w:numPr>
          <w:ilvl w:val="0"/>
          <w:numId w:val="1012"/>
        </w:numPr>
      </w:pPr>
      <w:r>
        <w:t xml:space="preserve">Помехоэмиссия — в пределах ГОСТ Р 51318 — REQ-23.</w:t>
      </w:r>
    </w:p>
    <w:p>
      <w:pPr>
        <w:pStyle w:val="Compact"/>
        <w:numPr>
          <w:ilvl w:val="0"/>
          <w:numId w:val="1012"/>
        </w:numPr>
      </w:pPr>
      <w:r>
        <w:t xml:space="preserve">Фильтры питания (LC + ВЧ-дроссели) на всех цепях питания — REQ-24.</w:t>
      </w:r>
    </w:p>
    <w:p>
      <w:pPr>
        <w:pStyle w:val="Compact"/>
        <w:numPr>
          <w:ilvl w:val="0"/>
          <w:numId w:val="1012"/>
        </w:numPr>
      </w:pPr>
      <w:r>
        <w:t xml:space="preserve">Зонирование аналоговой и цифровой частей платы — REQ-25.</w:t>
      </w:r>
    </w:p>
    <w:p>
      <w:pPr>
        <w:pStyle w:val="Compact"/>
        <w:numPr>
          <w:ilvl w:val="0"/>
          <w:numId w:val="1012"/>
        </w:numPr>
      </w:pPr>
      <w:r>
        <w:t xml:space="preserve">Аналоговая «земля» и цифровая «земля» соединяются в одной точке под АЦП.</w:t>
      </w:r>
    </w:p>
    <w:p>
      <w:r>
        <w:pict>
          <v:rect style="width:0;height:1.5pt" o:hralign="center" o:hrstd="t" o:hr="t"/>
        </w:pict>
      </w:r>
    </w:p>
    <w:bookmarkEnd w:id="40"/>
    <w:bookmarkStart w:id="41" w:name="требования-к-надежности-и-безопасности"/>
    <w:p>
      <w:pPr>
        <w:pStyle w:val="Heading2"/>
      </w:pPr>
      <w:r>
        <w:t xml:space="preserve">6. ТРЕБОВАНИЯ К НАДЕЖНОСТИ И БЕЗОПАСНОСТИ</w:t>
      </w:r>
    </w:p>
    <w:p>
      <w:pPr>
        <w:pStyle w:val="Compact"/>
        <w:numPr>
          <w:ilvl w:val="0"/>
          <w:numId w:val="1013"/>
        </w:numPr>
      </w:pPr>
      <w:r>
        <w:t xml:space="preserve">Средняя наработка на отказ (MTBF) — не менее 10 000 ч — REQ-26.</w:t>
      </w:r>
    </w:p>
    <w:p>
      <w:pPr>
        <w:pStyle w:val="Compact"/>
        <w:numPr>
          <w:ilvl w:val="0"/>
          <w:numId w:val="1013"/>
        </w:numPr>
      </w:pPr>
      <w:r>
        <w:t xml:space="preserve">Электрическая безопасность — по ГОСТ 12.1.038 — REQ-27.</w:t>
      </w:r>
    </w:p>
    <w:p>
      <w:pPr>
        <w:pStyle w:val="Compact"/>
        <w:numPr>
          <w:ilvl w:val="0"/>
          <w:numId w:val="1013"/>
        </w:numPr>
      </w:pPr>
      <w:r>
        <w:t xml:space="preserve">Защита от перегрузки входного ВЧ-тракта (до +20 дБм) — REQ-28.</w:t>
      </w:r>
    </w:p>
    <w:p>
      <w:pPr>
        <w:pStyle w:val="Compact"/>
        <w:numPr>
          <w:ilvl w:val="0"/>
          <w:numId w:val="1013"/>
        </w:numPr>
      </w:pPr>
      <w:r>
        <w:t xml:space="preserve">Заземление корпуса и экранов — REQ-29.</w:t>
      </w:r>
    </w:p>
    <w:p>
      <w:pPr>
        <w:pStyle w:val="Compact"/>
        <w:numPr>
          <w:ilvl w:val="0"/>
          <w:numId w:val="1013"/>
        </w:numPr>
      </w:pPr>
      <w:r>
        <w:t xml:space="preserve">Питание от USB-порта — гальванически развязано по цепям «земля»/экран при питании от внешнего источника.</w:t>
      </w:r>
    </w:p>
    <w:p>
      <w:r>
        <w:pict>
          <v:rect style="width:0;height:1.5pt" o:hralign="center" o:hrstd="t" o:hr="t"/>
        </w:pict>
      </w:r>
    </w:p>
    <w:bookmarkEnd w:id="41"/>
    <w:bookmarkStart w:id="42" w:name="упаковка-транспортирование-и-консервация"/>
    <w:p>
      <w:pPr>
        <w:pStyle w:val="Heading2"/>
      </w:pPr>
      <w:r>
        <w:t xml:space="preserve">7. УПАКОВКА, ТРАНСПОРТИРОВАНИЕ И КОНСЕРВАЦИЯ</w:t>
      </w:r>
    </w:p>
    <w:p>
      <w:pPr>
        <w:pStyle w:val="Compact"/>
        <w:numPr>
          <w:ilvl w:val="0"/>
          <w:numId w:val="1014"/>
        </w:numPr>
      </w:pPr>
      <w:r>
        <w:t xml:space="preserve">Упаковка — антистатический пакет + картонная коробка — REQ-30.</w:t>
      </w:r>
    </w:p>
    <w:p>
      <w:pPr>
        <w:pStyle w:val="Compact"/>
        <w:numPr>
          <w:ilvl w:val="0"/>
          <w:numId w:val="1014"/>
        </w:numPr>
      </w:pPr>
      <w:r>
        <w:t xml:space="preserve">Транспортирование — при температуре −40 … +50 °C, влажности ≤ 80 % — REQ-30.</w:t>
      </w:r>
    </w:p>
    <w:p>
      <w:pPr>
        <w:pStyle w:val="Compact"/>
        <w:numPr>
          <w:ilvl w:val="0"/>
          <w:numId w:val="1014"/>
        </w:numPr>
      </w:pPr>
      <w:r>
        <w:t xml:space="preserve">Консервация — не требует специальных мер (изделие не содержит оптики и прецизионных механических узлов, в отличие от акустооптической платформы).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Ссылка на требование:</w:t>
      </w:r>
      <w:r>
        <w:t xml:space="preserve"> </w:t>
      </w:r>
      <w:r>
        <w:t xml:space="preserve">REQ-30, req_block_30_33.md.</w:t>
      </w:r>
    </w:p>
    <w:p>
      <w:r>
        <w:pict>
          <v:rect style="width:0;height:1.5pt" o:hralign="center" o:hrstd="t" o:hr="t"/>
        </w:pict>
      </w:r>
    </w:p>
    <w:bookmarkEnd w:id="42"/>
    <w:bookmarkStart w:id="43" w:name="X7f09ea7cc756b746b5dbe1bf3c33557d80f8b84"/>
    <w:p>
      <w:pPr>
        <w:pStyle w:val="Heading2"/>
      </w:pPr>
      <w:r>
        <w:t xml:space="preserve">8. ТРЕБОВАНИЯ К ПРОГРАММНОМУ ОБЕСПЕЧЕНИЮ (HOST API)</w:t>
      </w:r>
    </w:p>
    <w:p>
      <w:pPr>
        <w:pStyle w:val="Compact"/>
        <w:numPr>
          <w:ilvl w:val="0"/>
          <w:numId w:val="1015"/>
        </w:numPr>
      </w:pPr>
      <w:r>
        <w:t xml:space="preserve">Встраиваемое ПО (прошивка) — для STM32F103C8T6, два варианта сборки: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bluepill_f103c8</w:t>
      </w:r>
      <w:r>
        <w:t xml:space="preserve"> </w:t>
      </w:r>
      <w:r>
        <w:t xml:space="preserve">— штатное изделие (USB CDC включен);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cosim</w:t>
      </w:r>
      <w:r>
        <w:t xml:space="preserve"> </w:t>
      </w:r>
      <w:r>
        <w:t xml:space="preserve">— стендовая/сопрягаемая сборка (USB отключен).</w:t>
      </w:r>
    </w:p>
    <w:p>
      <w:pPr>
        <w:pStyle w:val="Compact"/>
        <w:numPr>
          <w:ilvl w:val="0"/>
          <w:numId w:val="1015"/>
        </w:numPr>
      </w:pPr>
      <w:r>
        <w:t xml:space="preserve">Прошивка описывает границу выводов (PA0/PA1/PA6/PA7) и обмен через почтовый ящик ОЗУ (mailbox: magic, host_lo/host_gain, mcu_stamp/adc_i/adc_q/adc_stamp).</w:t>
      </w:r>
    </w:p>
    <w:p>
      <w:pPr>
        <w:pStyle w:val="Compact"/>
        <w:numPr>
          <w:ilvl w:val="0"/>
          <w:numId w:val="1015"/>
        </w:numPr>
      </w:pPr>
      <w:r>
        <w:t xml:space="preserve">Хост-API: поток IQ-отсчетов по USB, доступный стандартному ПО SDR (SDR++, GNU Radio).</w:t>
      </w:r>
    </w:p>
    <w:p>
      <w:pPr>
        <w:pStyle w:val="Compact"/>
        <w:numPr>
          <w:ilvl w:val="0"/>
          <w:numId w:val="1015"/>
        </w:numPr>
      </w:pPr>
      <w:r>
        <w:t xml:space="preserve">Программная модель (FMI 2.0): аналоговый ngspice-netlist оформлен как FMU-слэйв (</w:t>
      </w:r>
      <w:r>
        <w:rPr>
          <w:rStyle w:val="VerbatimChar"/>
        </w:rPr>
        <w:t xml:space="preserve">SdrNgspiceFMU.fmu</w:t>
      </w:r>
      <w:r>
        <w:t xml:space="preserve">) и может запускаться совместно с моделью прошивки или с реальной прошивкой (QEMU).</w:t>
      </w:r>
    </w:p>
    <w:p>
      <w:pPr>
        <w:pStyle w:val="Compact"/>
        <w:numPr>
          <w:ilvl w:val="0"/>
          <w:numId w:val="1015"/>
        </w:numPr>
      </w:pPr>
      <w:r>
        <w:t xml:space="preserve">Веб-интерфейс:</w:t>
      </w:r>
      <w:r>
        <w:t xml:space="preserve"> </w:t>
      </w:r>
      <w:r>
        <w:rPr>
          <w:rStyle w:val="VerbatimChar"/>
        </w:rPr>
        <w:t xml:space="preserve">sim/web_gui/app.py</w:t>
      </w:r>
      <w:r>
        <w:t xml:space="preserve"> </w:t>
      </w:r>
      <w:r>
        <w:t xml:space="preserve">(Flask) — визуализация I/Q, управление уровнем стимула и частотой LO, экспорт диаграммы Xcos.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Ссылка на требование:</w:t>
      </w:r>
      <w:r>
        <w:t xml:space="preserve"> </w:t>
      </w:r>
      <w:r>
        <w:t xml:space="preserve">REQ-31, REQ-32, REQ-33, REQ-34, req_block_01_035.md.</w:t>
      </w:r>
    </w:p>
    <w:p>
      <w:r>
        <w:pict>
          <v:rect style="width:0;height:1.5pt" o:hralign="center" o:hrstd="t" o:hr="t"/>
        </w:pict>
      </w:r>
    </w:p>
    <w:bookmarkEnd w:id="43"/>
    <w:bookmarkStart w:id="46" w:name="Xccb2520ce46956fb0a82495ef1eab4024c5ba82"/>
    <w:p>
      <w:pPr>
        <w:pStyle w:val="Heading2"/>
      </w:pPr>
      <w:r>
        <w:t xml:space="preserve">9. СТРУКТУРНАЯ СХЕМА И СХЕМА РАСПРЕДЕЛЕНИЯ ТРЕБОВАНИЙ</w:t>
      </w:r>
    </w:p>
    <w:bookmarkStart w:id="44" w:name="структурная-схема-системы"/>
    <w:p>
      <w:pPr>
        <w:pStyle w:val="Heading3"/>
      </w:pPr>
      <w:r>
        <w:t xml:space="preserve">9.1. Структурная схема системы</w:t>
      </w:r>
    </w:p>
    <w:p>
      <w:pPr>
        <w:pStyle w:val="FirstParagraph"/>
      </w:pPr>
      <w:r>
        <w:t xml:space="preserve">Структурная схема прибора приведена в</w:t>
      </w:r>
      <w:r>
        <w:t xml:space="preserve"> </w:t>
      </w:r>
      <w:r>
        <w:rPr>
          <w:rStyle w:val="VerbatimChar"/>
        </w:rPr>
        <w:t xml:space="preserve">AGENT_MAP.md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references/structural_block.drawio</w:t>
      </w:r>
      <w:r>
        <w:t xml:space="preserve">. Схема содержит следующие структурные блоки: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848"/>
        <w:gridCol w:w="1555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блока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Антенна КВ (диполь 7 МГц)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Ant_HF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REQ-A1 (антенная система)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hardware/antenna/band_a/task.md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Преселектор (ФНЧ/ПФ КВ)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REQ-03, REQ-04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sim/scripts/sdr_skidl_circuit.py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Малошумящий усилитель (LNA)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REQ-04, REQ-05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sim/scripts/sdr_skidl_circuit.py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Квадратурный смеситель (zero-IF)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Mixer_IQ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sim/scripts/export_ngspice.py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Квадратурный гетеродин + 90° all-pass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LO_IQ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sim/scripts/export_ngspice.py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АЦП I/Q (STM32F103C8T6)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ADC_IQ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firmware/src/firmware.ino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+ почтовый ящик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DMA_Mailbox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firmware/src/cosim.h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USB-мост к хосту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USB_Bridge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питания 5 В (звезда + дроссели)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block0_bus_power_calc.py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Хост-ПК (SDR++ / GNU Radio)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PC_SDR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REQ-32, REQ-34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sim/web_gui/app.py</w:t>
            </w:r>
          </w:p>
        </w:tc>
      </w:tr>
    </w:tbl>
    <w:bookmarkEnd w:id="44"/>
    <w:bookmarkStart w:id="45" w:name="тракт-прямого-преобразования-детально"/>
    <w:p>
      <w:pPr>
        <w:pStyle w:val="Heading3"/>
      </w:pPr>
      <w:r>
        <w:t xml:space="preserve">9.2. Тракт прямого преобразования — детально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АНТЕННА КВ (диполь 7 МГц, 50 Ом)          │</w:t>
      </w:r>
      <w:r>
        <w:br/>
      </w:r>
      <w:r>
        <w:rPr>
          <w:rStyle w:val="VerbatimChar"/>
        </w:rPr>
        <w:t xml:space="preserve">                    │  [0.1] openEMS FDTD: S11 = −15.7 дБ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50 Ом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ВХОДНОЙ ВЧ-ТРАКТ                          │</w:t>
      </w:r>
      <w:r>
        <w:br/>
      </w:r>
      <w:r>
        <w:rPr>
          <w:rStyle w:val="VerbatimChar"/>
        </w:rPr>
        <w:t xml:space="preserve">                    │  [1.1] Преселектор (ФНЧ/ПФ КВ)             │</w:t>
      </w:r>
      <w:r>
        <w:br/>
      </w:r>
      <w:r>
        <w:rPr>
          <w:rStyle w:val="VerbatimChar"/>
        </w:rPr>
        <w:t xml:space="preserve">                    │  [1.2] LNA (+ защита, PA7/GAIN)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  │  КВАДРАТУРНЫЙ СМЕСИТЕЛЬ (zero-IF)          │</w:t>
      </w:r>
      <w:r>
        <w:br/>
      </w:r>
      <w:r>
        <w:rPr>
          <w:rStyle w:val="VerbatimChar"/>
        </w:rPr>
        <w:t xml:space="preserve">                    │  [1.3] I/Q смеситель                        │</w:t>
      </w:r>
      <w:r>
        <w:br/>
      </w:r>
      <w:r>
        <w:rPr>
          <w:rStyle w:val="VerbatimChar"/>
        </w:rPr>
        <w:t xml:space="preserve">                    │  [1.4] LO + 90° all-pass (PA6)             │</w:t>
      </w:r>
      <w:r>
        <w:br/>
      </w:r>
      <w:r>
        <w:rPr>
          <w:rStyle w:val="VerbatimChar"/>
        </w:rPr>
        <w:t xml:space="preserve">                    │        H(s) = 1 − 2/(1 + sRC)    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                  I    │                      │  Q</w:t>
      </w:r>
      <w:r>
        <w:br/>
      </w:r>
      <w:r>
        <w:rPr>
          <w:rStyle w:val="VerbatimChar"/>
        </w:rPr>
        <w:t xml:space="preserve">                               ▼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АЦП / ЦОС (STM32F103C8T6)                  │</w:t>
      </w:r>
      <w:r>
        <w:br/>
      </w:r>
      <w:r>
        <w:rPr>
          <w:rStyle w:val="VerbatimChar"/>
        </w:rPr>
        <w:t xml:space="preserve">                    │  [2.1] ADC I (PA0), ADC Q (PA1)             │</w:t>
      </w:r>
      <w:r>
        <w:br/>
      </w:r>
      <w:r>
        <w:rPr>
          <w:rStyle w:val="VerbatimChar"/>
        </w:rPr>
        <w:t xml:space="preserve">                    │  [2.2] DMA → ОЗУ (mailbox)                  │</w:t>
      </w:r>
      <w:r>
        <w:br/>
      </w:r>
      <w:r>
        <w:rPr>
          <w:rStyle w:val="VerbatimChar"/>
        </w:rPr>
        <w:t xml:space="preserve">                    │  [2.3] USB 2.0 → хост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USB (I/Q)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[4.1] ХОСТ-ПК: SDR++ / GNU Radio           │</w:t>
      </w:r>
      <w:r>
        <w:br/>
      </w:r>
      <w:r>
        <w:rPr>
          <w:rStyle w:val="VerbatimChar"/>
        </w:rPr>
        <w:t xml:space="preserve">                    │        демодуляция, панорама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Питание: [3.1] 5 В, разводка «звездой», LDO для аналоговой части,</w:t>
      </w:r>
      <w:r>
        <w:br/>
      </w:r>
      <w:r>
        <w:rPr>
          <w:rStyle w:val="VerbatimChar"/>
        </w:rPr>
        <w:t xml:space="preserve">           ВЧ-дроссели на границе аналог/цифра.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171daf769b8ce8f25bf7a0bd866b39bd330a0fc"/>
    <w:p>
      <w:pPr>
        <w:pStyle w:val="Heading2"/>
      </w:pPr>
      <w:r>
        <w:t xml:space="preserve">10. СВЯЗЬ С ФАЙЛАМИ ТРЕБОВАНИЙ (без конфликтов)</w:t>
      </w:r>
    </w:p>
    <w:p>
      <w:pPr>
        <w:pStyle w:val="FirstParagraph"/>
      </w:pPr>
      <w:r>
        <w:t xml:space="preserve">Требования в файлах</w:t>
      </w:r>
      <w:r>
        <w:t xml:space="preserve"> </w:t>
      </w:r>
      <w:r>
        <w:rPr>
          <w:rStyle w:val="VerbatimChar"/>
        </w:rPr>
        <w:t xml:space="preserve">requirements/blocks/req_*.md</w:t>
      </w:r>
      <w:r>
        <w:t xml:space="preserve"> </w:t>
      </w:r>
      <w:r>
        <w:t xml:space="preserve">и матрица</w:t>
      </w:r>
      <w:r>
        <w:t xml:space="preserve"> </w:t>
      </w:r>
      <w:r>
        <w:rPr>
          <w:rStyle w:val="VerbatimChar"/>
        </w:rPr>
        <w:t xml:space="preserve">requirements/requirements_matrix.csv</w:t>
      </w:r>
      <w:r>
        <w:t xml:space="preserve"> </w:t>
      </w:r>
      <w:r>
        <w:t xml:space="preserve">приведены в соответствие с данным ТЗ. Соответствие блоков: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3852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требований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(диапазон 0.5–30 МГц, 12-бит АЦП, SNR, шум)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req_01.md</w:t>
            </w:r>
            <w:r>
              <w:t xml:space="preserve">…</w:t>
            </w:r>
            <w:r>
              <w:rPr>
                <w:rStyle w:val="VerbatimChar"/>
              </w:rPr>
              <w:t xml:space="preserve">req_06.md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req_36.md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уточнено под direct-conversion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§3.2 (ВЧ-тракт, LNA, NF, SNR, шумовая дорожка, SFDR)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req_03.md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req_04.md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req_05.md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req_36.md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req_37.md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req_block_06_10.md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§3.4 (ЦОС, ADC/DMA, граница выводов)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req_31.md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req_34.md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§3.1 (антенная система КВ)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req_antenna_system.md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(климат/механика)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req_16.md</w:t>
            </w:r>
            <w:r>
              <w:t xml:space="preserve">…</w:t>
            </w:r>
            <w:r>
              <w:rPr>
                <w:rStyle w:val="VerbatimChar"/>
              </w:rPr>
              <w:t xml:space="preserve">req_20.md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req_block_16_20.md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 (ЭМС)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req_21.md</w:t>
            </w:r>
            <w:r>
              <w:t xml:space="preserve">…</w:t>
            </w:r>
            <w:r>
              <w:rPr>
                <w:rStyle w:val="VerbatimChar"/>
              </w:rPr>
              <w:t xml:space="preserve">req_25.md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req_block_21_25.md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(надёжность/безопасность)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req_26.md</w:t>
            </w:r>
            <w:r>
              <w:t xml:space="preserve">…</w:t>
            </w:r>
            <w:r>
              <w:rPr>
                <w:rStyle w:val="VerbatimChar"/>
              </w:rPr>
              <w:t xml:space="preserve">req_29.md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req_block_26_29.md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 (упаковка/транспорт)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req_30.md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req_block_30_33.md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(ПО / HOST 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req_block_01_035.md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req_07.md</w:t>
            </w:r>
            <w:r>
              <w:t xml:space="preserve">…</w:t>
            </w:r>
            <w:r>
              <w:rPr>
                <w:rStyle w:val="VerbatimChar"/>
              </w:rPr>
              <w:t xml:space="preserve">req_15.md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req_block_11_15.md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относится к акустооптическому ядру (унаследовано); в тракт «Кристалл-Радио» не входит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Разделы, помеченные «акустооптическая платформа», сохранены в репозитории как исторический/справочный материал по проекту-предшественнику «Brig Receiver» и не являются требованиями к изделию «Кристалл-Радио».</w:t>
      </w:r>
    </w:p>
    <w:p>
      <w:r>
        <w:pict>
          <v:rect style="width:0;height:1.5pt" o:hralign="center" o:hrstd="t" o:hr="t"/>
        </w:pict>
      </w:r>
    </w:p>
    <w:bookmarkEnd w:id="47"/>
    <w:bookmarkStart w:id="48" w:name="приложение-а-файлы-проекта"/>
    <w:p>
      <w:pPr>
        <w:pStyle w:val="Heading2"/>
      </w:pPr>
      <w:r>
        <w:t xml:space="preserve">11. ПРИЛОЖЕНИЕ А: ФАЙЛЫ ПРОЕКТА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sim/scripts/sdr_skidl_circuit.py</w:t>
      </w:r>
      <w:r>
        <w:t xml:space="preserve"> </w:t>
      </w:r>
      <w:r>
        <w:t xml:space="preserve">— источник истины по связям (60 компонентов, 38 цепей).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sim/scripts/export_ngspice.py</w:t>
      </w:r>
      <w:r>
        <w:t xml:space="preserve"> </w:t>
      </w:r>
      <w:r>
        <w:t xml:space="preserve">— экспорт ngspice-netlist аналогового тракта прямого преобразования.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sim/scripts/build_fmu.py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sim/scripts/sdr_ngspice_fmu.py</w:t>
      </w:r>
      <w:r>
        <w:t xml:space="preserve"> </w:t>
      </w:r>
      <w:r>
        <w:t xml:space="preserve">— сборка FMI 2.0-слэйва из того же netlist.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sim/scripts/cosim_fmu_stm32.py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cosim_real_stm32.py</w:t>
      </w:r>
      <w:r>
        <w:t xml:space="preserve"> </w:t>
      </w:r>
      <w:r>
        <w:t xml:space="preserve">— сопряжение «прошивка ↔ ngspice» (модель и реальный ELF на QEMU).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sim/scripts/test_sdr_netlist.py</w:t>
      </w:r>
      <w:r>
        <w:t xml:space="preserve"> </w:t>
      </w:r>
      <w:r>
        <w:t xml:space="preserve">(22/22),</w:t>
      </w:r>
      <w:r>
        <w:t xml:space="preserve"> </w:t>
      </w:r>
      <w:r>
        <w:rPr>
          <w:rStyle w:val="VerbatimChar"/>
        </w:rPr>
        <w:t xml:space="preserve">sim/scripts/verify_pin_contract.py</w:t>
      </w:r>
      <w:r>
        <w:t xml:space="preserve"> </w:t>
      </w:r>
      <w:r>
        <w:t xml:space="preserve">(31/31) — регрессия аналогового тракта и контракта выводов.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firmware/src/firmware.ino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firmware/src/cosim.h</w:t>
      </w:r>
      <w:r>
        <w:t xml:space="preserve"> </w:t>
      </w:r>
      <w:r>
        <w:t xml:space="preserve">— прошивка и почтовый ящик.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sim/inputs/antenna_*.yaml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sim/scripts/antenna_fdtd.py</w:t>
      </w:r>
      <w:r>
        <w:t xml:space="preserve"> </w:t>
      </w:r>
      <w:r>
        <w:t xml:space="preserve">— антенные модели (openEMS FDTD).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hardware/antenna/band_a/task.md</w:t>
      </w:r>
      <w:r>
        <w:t xml:space="preserve"> </w:t>
      </w:r>
      <w:r>
        <w:t xml:space="preserve">— задание на антенну КВ (диполь 7 МГц).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hardware/kicad/sdr_receiver.kicad_sch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hardware/tscircuit/build_pcb.mjs</w:t>
      </w:r>
      <w:r>
        <w:t xml:space="preserve"> </w:t>
      </w:r>
      <w:r>
        <w:t xml:space="preserve">— кодогенерация схемы и платы.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gost_pipeline.py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block0_bus_power_calc.py</w:t>
      </w:r>
      <w:r>
        <w:t xml:space="preserve"> </w:t>
      </w:r>
      <w:r>
        <w:t xml:space="preserve">— чертежи по ГОСТ и расчет шины питания.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sim/web_gui/app.py</w:t>
      </w:r>
      <w:r>
        <w:t xml:space="preserve"> </w:t>
      </w:r>
      <w:r>
        <w:t xml:space="preserve">— веб-интерфейс.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AGENT_MAP.md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sim/COSIM_STATUS.md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— документация и статус.</w:t>
      </w:r>
    </w:p>
    <w:p>
      <w:r>
        <w:pict>
          <v:rect style="width:0;height:1.5pt" o:hralign="center" o:hrstd="t" o:hr="t"/>
        </w:pict>
      </w:r>
    </w:p>
    <w:bookmarkEnd w:id="48"/>
    <w:bookmarkStart w:id="49" w:name="X72b04ad34958547020d96e8e3bcc7b5f9d6b7bb"/>
    <w:p>
      <w:pPr>
        <w:pStyle w:val="Heading2"/>
      </w:pPr>
      <w:r>
        <w:t xml:space="preserve">12. ПРИЛОЖЕНИЕ Б: ПЕРЕНОС ИЗ ПРОЕКТА «BRIG RECEIVER»</w:t>
      </w:r>
    </w:p>
    <w:p>
      <w:pPr>
        <w:pStyle w:val="FirstParagraph"/>
      </w:pPr>
      <w:r>
        <w:t xml:space="preserve">Переданное</w:t>
      </w:r>
      <w:r>
        <w:t xml:space="preserve"> </w:t>
      </w:r>
      <w:r>
        <w:rPr>
          <w:b/>
          <w:bCs/>
        </w:rPr>
        <w:t xml:space="preserve">функциональное</w:t>
      </w:r>
      <w:r>
        <w:t xml:space="preserve"> </w:t>
      </w:r>
      <w:r>
        <w:t xml:space="preserve">обеспечение (изделие «Brig Receiver» — акустооптическая платформа) и его назначение в проекте «Кристалл-Радио»: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Перенесено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Методология code-first (SKiDL → netlist → ngspice → FMU)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моделирования изделия «Кристалл-Радио»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Инструментарий антенн (openEMS FDTD, NEC-2, YAML-модели)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верификация антенн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Инструментарий печатных плат (tscircuit, KiCad, FreeCAD)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кодогенерация платы и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Инструментарий ГОСТ-чертежей (</w:t>
            </w:r>
            <w:r>
              <w:rPr>
                <w:rStyle w:val="VerbatimChar"/>
              </w:rPr>
              <w:t xml:space="preserve">gost_pipeline.py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конструкторская документация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Моделирование сопряжения (FMI 2.0, PicSimLab)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сопряжение «прошивка ↔ аналог»</w:t>
            </w:r>
          </w:p>
        </w:tc>
      </w:tr>
    </w:tbl>
    <w:p>
      <w:pPr>
        <w:pStyle w:val="BodyText"/>
      </w:pPr>
      <w:r>
        <w:t xml:space="preserve">Акустооптическая ветвь (Брэгг-ячейка, лазер, TeO₂, ФПАА) сохранена как</w:t>
      </w:r>
      <w:r>
        <w:t xml:space="preserve"> </w:t>
      </w:r>
      <w:r>
        <w:rPr>
          <w:b/>
          <w:bCs/>
        </w:rPr>
        <w:t xml:space="preserve">инструментарий (toolbox)</w:t>
      </w:r>
      <w:r>
        <w:t xml:space="preserve">, а не как часть сигнального тракта приёмника.</w:t>
      </w:r>
    </w:p>
    <w:p>
      <w:r>
        <w:pict>
          <v:rect style="width:0;height:1.5pt" o:hralign="center" o:hrstd="t" o:hr="t"/>
        </w:pict>
      </w:r>
    </w:p>
    <w:bookmarkEnd w:id="49"/>
    <w:bookmarkStart w:id="50" w:name="X3ff29c0d2d3467b749f38fc5496578047d157ba"/>
    <w:p>
      <w:pPr>
        <w:pStyle w:val="Heading2"/>
      </w:pPr>
      <w:r>
        <w:t xml:space="preserve">13. ПРИЛОЖЕНИЕ В: ИЗМЕНЕНИЯ ОТ ПРЕДЫДУЩЕЙ ВЕРСИИ</w:t>
      </w:r>
    </w:p>
    <w:p>
      <w:pPr>
        <w:pStyle w:val="Compact"/>
        <w:numPr>
          <w:ilvl w:val="0"/>
          <w:numId w:val="1018"/>
        </w:numPr>
      </w:pPr>
      <w:r>
        <w:t xml:space="preserve">Изделие переведено с акустооптической платформы «Brig Receiver» (промежуточная частота 38 МГц) на архитектуру</w:t>
      </w:r>
      <w:r>
        <w:t xml:space="preserve"> </w:t>
      </w:r>
      <w:r>
        <w:rPr>
          <w:b/>
          <w:bCs/>
        </w:rPr>
        <w:t xml:space="preserve">прямого преобразования (zero-IF)</w:t>
      </w:r>
      <w:r>
        <w:t xml:space="preserve"> </w:t>
      </w:r>
      <w:r>
        <w:t xml:space="preserve">на STM32F103C8T6.</w:t>
      </w:r>
    </w:p>
    <w:p>
      <w:pPr>
        <w:pStyle w:val="Compact"/>
        <w:numPr>
          <w:ilvl w:val="0"/>
          <w:numId w:val="1018"/>
        </w:numPr>
      </w:pPr>
      <w:r>
        <w:t xml:space="preserve">Диапазон рабочих частот изменён на</w:t>
      </w:r>
      <w:r>
        <w:t xml:space="preserve"> </w:t>
      </w:r>
      <w:r>
        <w:rPr>
          <w:b/>
          <w:bCs/>
        </w:rPr>
        <w:t xml:space="preserve">0.5–30 МГц</w:t>
      </w:r>
      <w:r>
        <w:t xml:space="preserve"> </w:t>
      </w:r>
      <w:r>
        <w:t xml:space="preserve">(КВ/HF).</w:t>
      </w:r>
    </w:p>
    <w:p>
      <w:pPr>
        <w:pStyle w:val="Compact"/>
        <w:numPr>
          <w:ilvl w:val="0"/>
          <w:numId w:val="1018"/>
        </w:numPr>
      </w:pPr>
      <w:r>
        <w:t xml:space="preserve">Определён центральный вычислитель —</w:t>
      </w:r>
      <w:r>
        <w:t xml:space="preserve"> </w:t>
      </w:r>
      <w:r>
        <w:rPr>
          <w:b/>
          <w:bCs/>
        </w:rPr>
        <w:t xml:space="preserve">STM32F103C8T6</w:t>
      </w:r>
      <w:r>
        <w:t xml:space="preserve"> </w:t>
      </w:r>
      <w:r>
        <w:t xml:space="preserve">(Cortex-M3), без внешней ПЛИС.</w:t>
      </w:r>
    </w:p>
    <w:p>
      <w:pPr>
        <w:pStyle w:val="Compact"/>
        <w:numPr>
          <w:ilvl w:val="0"/>
          <w:numId w:val="1018"/>
        </w:numPr>
      </w:pPr>
      <w:r>
        <w:t xml:space="preserve">Введён квадратурный формирователь на 90°-фазовращателе (all-pass).</w:t>
      </w:r>
    </w:p>
    <w:p>
      <w:pPr>
        <w:pStyle w:val="Compact"/>
        <w:numPr>
          <w:ilvl w:val="0"/>
          <w:numId w:val="1018"/>
        </w:numPr>
      </w:pPr>
      <w:r>
        <w:t xml:space="preserve">Введён контракт выводов (</w:t>
      </w:r>
      <w:r>
        <w:rPr>
          <w:b/>
          <w:bCs/>
        </w:rPr>
        <w:t xml:space="preserve">PA0/PA1/PA6/PA7</w:t>
      </w:r>
      <w:r>
        <w:t xml:space="preserve">) как инженерный контракт.</w:t>
      </w:r>
    </w:p>
    <w:p>
      <w:pPr>
        <w:pStyle w:val="Compact"/>
        <w:numPr>
          <w:ilvl w:val="0"/>
          <w:numId w:val="1018"/>
        </w:numPr>
      </w:pPr>
      <w:r>
        <w:t xml:space="preserve">Добавлены требования к SNR (</w:t>
      </w:r>
      <w:r>
        <w:rPr>
          <w:b/>
          <w:bCs/>
        </w:rPr>
        <w:t xml:space="preserve">REQ-36</w:t>
      </w:r>
      <w:r>
        <w:t xml:space="preserve">) и к уровню собственного шума / MDS (</w:t>
      </w:r>
      <w:r>
        <w:rPr>
          <w:b/>
          <w:bCs/>
        </w:rPr>
        <w:t xml:space="preserve">REQ-37</w:t>
      </w:r>
      <w:r>
        <w:t xml:space="preserve">), с тестами в</w:t>
      </w:r>
      <w:r>
        <w:t xml:space="preserve"> </w:t>
      </w:r>
      <w:r>
        <w:rPr>
          <w:rStyle w:val="VerbatimChar"/>
        </w:rPr>
        <w:t xml:space="preserve">tests/requirements/rf/test_rf.py</w:t>
      </w:r>
      <w:r>
        <w:t xml:space="preserve"> </w:t>
      </w:r>
      <w:r>
        <w:t xml:space="preserve">и включением в</w:t>
      </w:r>
      <w:r>
        <w:t xml:space="preserve"> </w:t>
      </w:r>
      <w:r>
        <w:rPr>
          <w:rStyle w:val="VerbatimChar"/>
        </w:rPr>
        <w:t xml:space="preserve">requirements/requirements_matrix.csv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Добавлена методология верификации: 22 + 31 регрессионных проверок, FMI 2.0-сопряжение.</w:t>
      </w:r>
    </w:p>
    <w:p>
      <w:pPr>
        <w:pStyle w:val="Compact"/>
        <w:numPr>
          <w:ilvl w:val="0"/>
          <w:numId w:val="1018"/>
        </w:numPr>
      </w:pPr>
      <w:r>
        <w:t xml:space="preserve">Антенная система приведена к КВ-диапазону (эталон — диполь 7 МГц, openEMS FDTD).</w:t>
      </w:r>
    </w:p>
    <w:p>
      <w:pPr>
        <w:pStyle w:val="Compact"/>
        <w:numPr>
          <w:ilvl w:val="0"/>
          <w:numId w:val="1018"/>
        </w:numPr>
      </w:pPr>
      <w:r>
        <w:t xml:space="preserve">Акустооптические требования переведены в статус перенесённого инструментария (Приложение Б).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Конец технического задания. Версия 1.1.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2026-10-13T20:04:06Z</dcterms:created>
  <dcterms:modified xsi:type="dcterms:W3CDTF">2026-10-13T20:04:06Z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