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Diagramia: estado del MVP</w:t>
      </w:r>
    </w:p>
    <w:p>
      <w:pPr>
        <w:pStyle w:val="Subtitle"/>
      </w:pPr>
      <w:r>
        <w:t xml:space="preserve">Resumen simple · 1 de octubre de 2026</w:t>
      </w:r>
    </w:p>
    <w:p>
      <w:pPr>
        <w:pStyle w:val="Callout"/>
      </w:pPr>
      <w:r>
        <w:t xml:space="preserve">HOY: existe una versión funcional para probar, pero todavía no está lista para publicarse.</w:t>
      </w:r>
    </w:p>
    <w:p>
      <w:pPr>
        <w:pStyle w:val="Heading1"/>
      </w:pPr>
      <w:r>
        <w:t xml:space="preserve">¿Qué es?</w:t>
      </w:r>
    </w:p>
    <w:p>
      <w:pPr>
        <w:pStyle w:val="Normal"/>
      </w:pPr>
      <w:r>
        <w:t xml:space="preserve">Una pizarra para dibujar diagramas, pedir cambios a una IA y convertirlos en explicaciones animadas. Las formas, flechas y pasos siguen siendo editables después de usar la IA.</w:t>
      </w:r>
    </w:p>
    <w:p>
      <w:pPr>
        <w:pStyle w:val="Heading1"/>
      </w:pPr>
      <w:r>
        <w:t xml:space="preserve">Lo que ya funciona</w:t>
      </w:r>
    </w:p>
    <w:p>
      <w:pPr>
        <w:pStyle w:val="Normal"/>
      </w:pPr>
      <w:r>
        <w:t xml:space="preserve">• Dibujar y editar nodos, texto, zonas, conexiones, líneas, flechas y trazos a mano. Hay deshacer, varios diagramas y guardado local.</w:t>
      </w:r>
    </w:p>
    <w:p>
      <w:pPr>
        <w:pStyle w:val="Normal"/>
      </w:pPr>
      <w:r>
        <w:t xml:space="preserve">• Crear o modificar diagramas con IA. Antes de aplicar un cambio se ve la propuesta; el sistema la valida. Se probó con un modelo local real.</w:t>
      </w:r>
    </w:p>
    <w:p>
      <w:pPr>
        <w:pStyle w:val="Normal"/>
      </w:pPr>
      <w:r>
        <w:t xml:space="preserve">• Animar un recorrido por pasos, con textos, resaltados, cámara y caminos alternativos; presentarlo desde la misma app.</w:t>
      </w:r>
    </w:p>
    <w:p>
      <w:pPr>
        <w:pStyle w:val="Normal"/>
      </w:pPr>
      <w:r>
        <w:t xml:space="preserve">• Usar cuentas y proyectos privados con versiones y límites iniciales del plan Gratis. Una IA externa puede acceder por MCP con permisos.</w:t>
      </w:r>
    </w:p>
    <w:p>
      <w:pPr>
        <w:pStyle w:val="Normal"/>
      </w:pPr>
      <w:r>
        <w:t xml:space="preserve">• Importar varios formatos de diagramas y exportar JSON, imágenes y PDF. Algunas conversiones pierden detalles y lo informan.</w:t>
      </w:r>
    </w:p>
    <w:p>
      <w:pPr>
        <w:pStyle w:val="Heading1"/>
      </w:pPr>
      <w:r>
        <w:t xml:space="preserve">Qué falta para lanzar la primera versión</w:t>
      </w:r>
    </w:p>
    <w:p>
      <w:pPr>
        <w:pStyle w:val="Normal"/>
      </w:pPr>
      <w:r>
        <w:t xml:space="preserve">• Almacenar imágenes y otros archivos de forma segura en la nube; completar tareas largas y su recuperación si fallan.</w:t>
      </w:r>
    </w:p>
    <w:p>
      <w:pPr>
        <w:pStyle w:val="Normal"/>
      </w:pPr>
      <w:r>
        <w:t xml:space="preserve">• Probar el inicio de sesión con Auth0 real, dos dispositivos y dos aplicaciones externas conectadas por MCP.</w:t>
      </w:r>
    </w:p>
    <w:p>
      <w:pPr>
        <w:pStyle w:val="Normal"/>
      </w:pPr>
      <w:r>
        <w:t xml:space="preserve">• Medir el costo real de la IA y cerrar el plan Gratis, Pro, pagos y uso de claves propias. Hoy los cupos son de prueba.</w:t>
      </w:r>
    </w:p>
    <w:p>
      <w:pPr>
        <w:pStyle w:val="Normal"/>
      </w:pPr>
      <w:r>
        <w:t xml:space="preserve">• Terminar y revisar accesibilidad, velocidad, seguridad y exportación con movimiento. El PDF actual muestra imágenes fijas.</w:t>
      </w:r>
    </w:p>
    <w:p>
      <w:pPr>
        <w:pStyle w:val="Heading1"/>
      </w:pPr>
      <w:r>
        <w:t xml:space="preserve">Decisiones a tomar</w:t>
      </w:r>
    </w:p>
    <w:p>
      <w:pPr>
        <w:pStyle w:val="Normal"/>
      </w:pPr>
      <w:r>
        <w:t xml:space="preserve">1. Lanzamiento: ¿alcanza con animaciones dentro de Diagramia y PDF fijo, o el video exportable es obligatorio? Sugerencia: lanzar con la primera opción y sumar video después.</w:t>
      </w:r>
    </w:p>
    <w:p>
      <w:pPr>
        <w:pStyle w:val="Normal"/>
      </w:pPr>
      <w:r>
        <w:t xml:space="preserve">2. IA y precios: elegir el modelo y los límites finales cuando haya mediciones reales. Los 20 créditos al mes y 6 al día son una hipótesis, no una promesa comercial.</w:t>
      </w:r>
    </w:p>
    <w:p>
      <w:pPr>
        <w:pStyle w:val="Normal"/>
      </w:pPr>
      <w:r>
        <w:t xml:space="preserve">3. Higgsfield: confirmar acceso y contrato antes de integrarlo. Sugerencia: dejarlo como complemento posterior; el producto principal no depende de él.</w:t>
      </w:r>
    </w:p>
    <w:p>
      <w:pPr>
        <w:pStyle w:val="Heading1"/>
      </w:pPr>
      <w:r>
        <w:t xml:space="preserve">Cómo se vería el producto terminado</w:t>
      </w:r>
    </w:p>
    <w:p>
      <w:pPr>
        <w:pStyle w:val="Normal"/>
      </w:pPr>
      <w:r>
        <w:t xml:space="preserve">Una persona entra y dibuja sin cuenta. Si inicia sesión, guarda en la nube, pide a la IA que cree o cambie sólo una parte del diagrama, revisa el resultado y lo acepta. Luego arma una explicación animada, la presenta y la exporta. Sus archivos se mantienen privados, puede recuperar versiones y conoce sus límites de uso.</w:t>
      </w:r>
    </w:p>
    <w:p>
      <w:pPr>
        <w:pStyle w:val="Heading1"/>
      </w:pPr>
      <w:r>
        <w:t xml:space="preserve">Próximo paso</w:t>
      </w:r>
    </w:p>
    <w:p>
      <w:pPr>
        <w:pStyle w:val="Normal"/>
      </w:pPr>
      <w:r>
        <w:t xml:space="preserve">Construir el almacenamiento de archivos y las tareas durables. Después, conectar servicios reales y hacer una ronda de pruebas de uso y seguridad. El código pasó 88 pruebas automáticas y 33 recorridos de navegador; eso todavía no reemplaza las pruebas de lanzamiento.</w:t>
      </w:r>
    </w:p>
    <w:sectPr>
      <w:pgSz w:w="11906" w:h="16838"/>
      <w:pgMar w:top="850" w:right="950" w:bottom="850" w:left="95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IBM Plex Sans" w:hAnsi="IBM Plex Sans"/>
        <w:sz w:val="20"/>
        <w:color w:val="141619"/>
      </w:rPr>
    </w:rPrDefault>
  </w:docDefaults>
  <w:style w:type="paragraph" w:default="1" w:styleId="Normal">
    <w:name w:val="Normal"/>
    <w:pPr>
      <w:spacing w:after="95" w:line="250" w:lineRule="auto"/>
    </w:pPr>
  </w:style>
  <w:style w:type="paragraph" w:styleId="Title">
    <w:name w:val="Title"/>
    <w:basedOn w:val="Normal"/>
    <w:pPr>
      <w:spacing w:after="40"/>
    </w:pPr>
    <w:rPr>
      <w:rFonts w:ascii="Manrope" w:hAnsi="Manrope"/>
      <w:b/>
      <w:sz w:val="42"/>
      <w:color w:val="245CF6"/>
    </w:rPr>
  </w:style>
  <w:style w:type="paragraph" w:styleId="Subtitle">
    <w:name w:val="Subtitle"/>
    <w:basedOn w:val="Normal"/>
    <w:pPr>
      <w:spacing w:after="180"/>
    </w:pPr>
    <w:rPr>
      <w:sz w:val="19"/>
      <w:color w:val="606975"/>
    </w:rPr>
  </w:style>
  <w:style w:type="paragraph" w:styleId="Heading1">
    <w:name w:val="heading 1"/>
    <w:basedOn w:val="Normal"/>
    <w:pPr>
      <w:keepNext/>
      <w:spacing w:before="185" w:after="75"/>
    </w:pPr>
    <w:rPr>
      <w:rFonts w:ascii="Manrope" w:hAnsi="Manrope"/>
      <w:b/>
      <w:sz w:val="24"/>
      <w:color w:val="245CF6"/>
    </w:rPr>
  </w:style>
  <w:style w:type="paragraph" w:styleId="Callout">
    <w:name w:val="Callout"/>
    <w:basedOn w:val="Normal"/>
    <w:pPr>
      <w:shd w:fill="D4F246"/>
      <w:ind w:left="130" w:right="130"/>
      <w:spacing w:before="75" w:after="125"/>
    </w:pPr>
    <w:rPr>
      <w:b/>
      <w:sz w:val="21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