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70F" w:rsidRPr="00EA7F3F" w:rsidRDefault="004A17A1" w:rsidP="00EA7F3F">
      <w:pPr>
        <w:spacing w:line="360" w:lineRule="auto"/>
        <w:jc w:val="both"/>
        <w:rPr>
          <w:rFonts w:ascii="Arial" w:hAnsi="Arial" w:cs="Arial"/>
          <w:b/>
          <w:color w:val="000000" w:themeColor="text1"/>
          <w:sz w:val="24"/>
          <w:szCs w:val="24"/>
        </w:rPr>
      </w:pPr>
      <w:r w:rsidRPr="00EA7F3F">
        <w:rPr>
          <w:rFonts w:ascii="Arial" w:hAnsi="Arial" w:cs="Arial"/>
          <w:b/>
          <w:color w:val="000000" w:themeColor="text1"/>
          <w:sz w:val="24"/>
          <w:szCs w:val="24"/>
        </w:rPr>
        <w:t xml:space="preserve">ESTRATEGIA </w:t>
      </w:r>
      <w:r w:rsidR="00B5670F" w:rsidRPr="00EA7F3F">
        <w:rPr>
          <w:rFonts w:ascii="Arial" w:hAnsi="Arial" w:cs="Arial"/>
          <w:b/>
          <w:color w:val="000000" w:themeColor="text1"/>
          <w:sz w:val="24"/>
          <w:szCs w:val="24"/>
        </w:rPr>
        <w:t xml:space="preserve">FISCAL PARA EMPRESA EXPORTADORA </w:t>
      </w:r>
    </w:p>
    <w:p w:rsidR="00B5670F" w:rsidRPr="00EA7F3F" w:rsidRDefault="00B5670F" w:rsidP="00EA7F3F">
      <w:pPr>
        <w:spacing w:line="360" w:lineRule="auto"/>
        <w:jc w:val="both"/>
        <w:rPr>
          <w:rFonts w:ascii="Arial" w:hAnsi="Arial" w:cs="Arial"/>
          <w:color w:val="1F3864" w:themeColor="accent5" w:themeShade="80"/>
          <w:sz w:val="24"/>
          <w:szCs w:val="24"/>
        </w:rPr>
      </w:pPr>
      <w:r w:rsidRPr="00EA7F3F">
        <w:rPr>
          <w:rFonts w:ascii="Arial" w:hAnsi="Arial" w:cs="Arial"/>
          <w:color w:val="1F3864" w:themeColor="accent5" w:themeShade="80"/>
          <w:sz w:val="24"/>
          <w:szCs w:val="24"/>
        </w:rPr>
        <w:t>En principio es impo</w:t>
      </w:r>
      <w:r w:rsidR="00020087" w:rsidRPr="00EA7F3F">
        <w:rPr>
          <w:rFonts w:ascii="Arial" w:hAnsi="Arial" w:cs="Arial"/>
          <w:color w:val="1F3864" w:themeColor="accent5" w:themeShade="80"/>
          <w:sz w:val="24"/>
          <w:szCs w:val="24"/>
        </w:rPr>
        <w:t>rtante considerar lo siguiente:</w:t>
      </w:r>
    </w:p>
    <w:p w:rsidR="00020087" w:rsidRPr="00EA7F3F" w:rsidRDefault="00B5670F" w:rsidP="00EA7F3F">
      <w:pPr>
        <w:spacing w:line="360" w:lineRule="auto"/>
        <w:jc w:val="both"/>
        <w:rPr>
          <w:rFonts w:ascii="Arial" w:hAnsi="Arial" w:cs="Arial"/>
          <w:color w:val="1F3864" w:themeColor="accent5" w:themeShade="80"/>
          <w:sz w:val="24"/>
          <w:szCs w:val="24"/>
        </w:rPr>
      </w:pPr>
      <w:r w:rsidRPr="00EA7F3F">
        <w:rPr>
          <w:rFonts w:ascii="Arial" w:hAnsi="Arial" w:cs="Arial"/>
          <w:color w:val="1F3864" w:themeColor="accent5" w:themeShade="80"/>
          <w:sz w:val="24"/>
          <w:szCs w:val="24"/>
        </w:rPr>
        <w:t>La empresa Ubicada en Estados Unidos envía dinero a Méxic</w:t>
      </w:r>
      <w:r w:rsidR="00020087" w:rsidRPr="00EA7F3F">
        <w:rPr>
          <w:rFonts w:ascii="Arial" w:hAnsi="Arial" w:cs="Arial"/>
          <w:color w:val="1F3864" w:themeColor="accent5" w:themeShade="80"/>
          <w:sz w:val="24"/>
          <w:szCs w:val="24"/>
        </w:rPr>
        <w:t>o con el concepto de inversión.</w:t>
      </w:r>
    </w:p>
    <w:p w:rsidR="00B5670F" w:rsidRPr="00EA7F3F" w:rsidRDefault="00020087" w:rsidP="00EA7F3F">
      <w:pPr>
        <w:spacing w:line="360" w:lineRule="auto"/>
        <w:jc w:val="both"/>
        <w:rPr>
          <w:rFonts w:ascii="Arial" w:hAnsi="Arial" w:cs="Arial"/>
          <w:color w:val="1F3864" w:themeColor="accent5" w:themeShade="80"/>
          <w:sz w:val="24"/>
          <w:szCs w:val="24"/>
        </w:rPr>
      </w:pPr>
      <w:r w:rsidRPr="00EA7F3F">
        <w:rPr>
          <w:rFonts w:ascii="Arial" w:hAnsi="Arial" w:cs="Arial"/>
          <w:color w:val="1F3864" w:themeColor="accent5" w:themeShade="80"/>
          <w:sz w:val="24"/>
          <w:szCs w:val="24"/>
        </w:rPr>
        <w:t>E</w:t>
      </w:r>
      <w:r w:rsidR="00B5670F" w:rsidRPr="00EA7F3F">
        <w:rPr>
          <w:rFonts w:ascii="Arial" w:hAnsi="Arial" w:cs="Arial"/>
          <w:color w:val="1F3864" w:themeColor="accent5" w:themeShade="80"/>
          <w:sz w:val="24"/>
          <w:szCs w:val="24"/>
        </w:rPr>
        <w:t>n México</w:t>
      </w:r>
      <w:r w:rsidRPr="00EA7F3F">
        <w:rPr>
          <w:rFonts w:ascii="Arial" w:hAnsi="Arial" w:cs="Arial"/>
          <w:color w:val="1F3864" w:themeColor="accent5" w:themeShade="80"/>
          <w:sz w:val="24"/>
          <w:szCs w:val="24"/>
        </w:rPr>
        <w:t xml:space="preserve"> con dic</w:t>
      </w:r>
      <w:r w:rsidR="009B2F93" w:rsidRPr="00EA7F3F">
        <w:rPr>
          <w:rFonts w:ascii="Arial" w:hAnsi="Arial" w:cs="Arial"/>
          <w:color w:val="1F3864" w:themeColor="accent5" w:themeShade="80"/>
          <w:sz w:val="24"/>
          <w:szCs w:val="24"/>
        </w:rPr>
        <w:t xml:space="preserve">ha inversión </w:t>
      </w:r>
      <w:r w:rsidRPr="00EA7F3F">
        <w:rPr>
          <w:rFonts w:ascii="Arial" w:hAnsi="Arial" w:cs="Arial"/>
          <w:color w:val="1F3864" w:themeColor="accent5" w:themeShade="80"/>
          <w:sz w:val="24"/>
          <w:szCs w:val="24"/>
        </w:rPr>
        <w:t>la empresa constituida en Durango, Durango bajo el Régimen General de Ley (Persona moral), regulara actividades de producción y distribución de carne (cerdo) para fin de exportarlo a Japón.</w:t>
      </w:r>
    </w:p>
    <w:p w:rsidR="00020087" w:rsidRPr="00EA7F3F" w:rsidRDefault="00020087" w:rsidP="00EA7F3F">
      <w:pPr>
        <w:spacing w:line="360" w:lineRule="auto"/>
        <w:jc w:val="both"/>
        <w:rPr>
          <w:rFonts w:ascii="Arial" w:hAnsi="Arial" w:cs="Arial"/>
          <w:color w:val="000000" w:themeColor="text1"/>
          <w:sz w:val="24"/>
          <w:szCs w:val="24"/>
        </w:rPr>
      </w:pPr>
      <w:r w:rsidRPr="00EA7F3F">
        <w:rPr>
          <w:rFonts w:ascii="Arial" w:hAnsi="Arial" w:cs="Arial"/>
          <w:color w:val="1F3864" w:themeColor="accent5" w:themeShade="80"/>
          <w:sz w:val="24"/>
          <w:szCs w:val="24"/>
        </w:rPr>
        <w:t>Para que el dinero enviado de Estados Unidos</w:t>
      </w:r>
      <w:r w:rsidR="009B2F93" w:rsidRPr="00EA7F3F">
        <w:rPr>
          <w:rFonts w:ascii="Arial" w:hAnsi="Arial" w:cs="Arial"/>
          <w:color w:val="1F3864" w:themeColor="accent5" w:themeShade="80"/>
          <w:sz w:val="24"/>
          <w:szCs w:val="24"/>
        </w:rPr>
        <w:t xml:space="preserve"> hacia México no se considere un ingreso acumulable en términos fiscales, se deberá aplicar lo siguiente</w:t>
      </w:r>
      <w:r w:rsidR="009B2F93" w:rsidRPr="00EA7F3F">
        <w:rPr>
          <w:rFonts w:ascii="Arial" w:hAnsi="Arial" w:cs="Arial"/>
          <w:color w:val="000000" w:themeColor="text1"/>
          <w:sz w:val="24"/>
          <w:szCs w:val="24"/>
        </w:rPr>
        <w:t>:</w:t>
      </w:r>
    </w:p>
    <w:p w:rsidR="009B2F93" w:rsidRPr="00EA7F3F" w:rsidRDefault="009B2F93" w:rsidP="00EA7F3F">
      <w:pPr>
        <w:spacing w:line="360" w:lineRule="auto"/>
        <w:jc w:val="both"/>
        <w:rPr>
          <w:rFonts w:ascii="Arial" w:hAnsi="Arial" w:cs="Arial"/>
          <w:color w:val="000000" w:themeColor="text1"/>
          <w:sz w:val="24"/>
          <w:szCs w:val="24"/>
        </w:rPr>
      </w:pPr>
      <w:r w:rsidRPr="00EA7F3F">
        <w:rPr>
          <w:rFonts w:ascii="Arial" w:hAnsi="Arial" w:cs="Arial"/>
          <w:color w:val="000000" w:themeColor="text1"/>
          <w:sz w:val="24"/>
          <w:szCs w:val="24"/>
        </w:rPr>
        <w:t>De acuerdo al artículo 1</w:t>
      </w:r>
      <w:r w:rsidR="00A83BFF" w:rsidRPr="00EA7F3F">
        <w:rPr>
          <w:rFonts w:ascii="Arial" w:hAnsi="Arial" w:cs="Arial"/>
          <w:color w:val="000000" w:themeColor="text1"/>
          <w:sz w:val="24"/>
          <w:szCs w:val="24"/>
        </w:rPr>
        <w:t xml:space="preserve"> de la LEY DEL IMPUESTO SOBRE LA RENTA (LISR, EN ADELANTE) se</w:t>
      </w:r>
      <w:r w:rsidRPr="00EA7F3F">
        <w:rPr>
          <w:rFonts w:ascii="Arial" w:hAnsi="Arial" w:cs="Arial"/>
          <w:color w:val="000000" w:themeColor="text1"/>
          <w:sz w:val="24"/>
          <w:szCs w:val="24"/>
        </w:rPr>
        <w:t xml:space="preserve"> menciona lo siguiente:</w:t>
      </w:r>
    </w:p>
    <w:p w:rsidR="009B2F93" w:rsidRPr="00EA7F3F" w:rsidRDefault="009B2F93" w:rsidP="00EA7F3F">
      <w:pPr>
        <w:pStyle w:val="Texto"/>
        <w:spacing w:line="360" w:lineRule="auto"/>
        <w:ind w:firstLine="0"/>
        <w:rPr>
          <w:color w:val="000000" w:themeColor="text1"/>
          <w:sz w:val="24"/>
          <w:szCs w:val="24"/>
          <w:u w:val="single"/>
        </w:rPr>
      </w:pPr>
      <w:r w:rsidRPr="00EA7F3F">
        <w:rPr>
          <w:color w:val="000000" w:themeColor="text1"/>
          <w:sz w:val="24"/>
          <w:szCs w:val="24"/>
          <w:u w:val="single"/>
        </w:rPr>
        <w:t>Las personas físicas y las morales están obligadas al pago del impuesto sobre la renta en los siguientes casos:</w:t>
      </w:r>
    </w:p>
    <w:p w:rsidR="009B2F93" w:rsidRPr="00EA7F3F" w:rsidRDefault="009B2F93" w:rsidP="00EA7F3F">
      <w:pPr>
        <w:pStyle w:val="Texto"/>
        <w:numPr>
          <w:ilvl w:val="0"/>
          <w:numId w:val="1"/>
        </w:numPr>
        <w:spacing w:line="360" w:lineRule="auto"/>
        <w:rPr>
          <w:color w:val="000000" w:themeColor="text1"/>
          <w:sz w:val="24"/>
          <w:szCs w:val="24"/>
          <w:u w:val="single"/>
        </w:rPr>
      </w:pPr>
      <w:r w:rsidRPr="00EA7F3F">
        <w:rPr>
          <w:color w:val="000000" w:themeColor="text1"/>
          <w:sz w:val="24"/>
          <w:szCs w:val="24"/>
          <w:u w:val="single"/>
        </w:rPr>
        <w:t>Las residentes en México, respecto de todos sus ingresos, cualquiera que sea la ubicación de la fuente de riqueza de donde procedan.</w:t>
      </w:r>
    </w:p>
    <w:p w:rsidR="009B2F93" w:rsidRPr="00EA7F3F" w:rsidRDefault="009B2F93" w:rsidP="00EA7F3F">
      <w:pPr>
        <w:pStyle w:val="Texto"/>
        <w:numPr>
          <w:ilvl w:val="0"/>
          <w:numId w:val="1"/>
        </w:numPr>
        <w:spacing w:line="360" w:lineRule="auto"/>
        <w:rPr>
          <w:color w:val="000000" w:themeColor="text1"/>
          <w:sz w:val="24"/>
          <w:szCs w:val="24"/>
          <w:u w:val="single"/>
        </w:rPr>
      </w:pPr>
      <w:r w:rsidRPr="00EA7F3F">
        <w:rPr>
          <w:color w:val="000000" w:themeColor="text1"/>
          <w:sz w:val="24"/>
          <w:szCs w:val="24"/>
          <w:u w:val="single"/>
        </w:rPr>
        <w:t xml:space="preserve">Los residentes en el extranjero que tengan un establecimiento permanente en el país, respecto de los ingresos atribuibles </w:t>
      </w:r>
      <w:proofErr w:type="gramStart"/>
      <w:r w:rsidRPr="00EA7F3F">
        <w:rPr>
          <w:color w:val="000000" w:themeColor="text1"/>
          <w:sz w:val="24"/>
          <w:szCs w:val="24"/>
          <w:u w:val="single"/>
        </w:rPr>
        <w:t>a</w:t>
      </w:r>
      <w:proofErr w:type="gramEnd"/>
      <w:r w:rsidRPr="00EA7F3F">
        <w:rPr>
          <w:color w:val="000000" w:themeColor="text1"/>
          <w:sz w:val="24"/>
          <w:szCs w:val="24"/>
          <w:u w:val="single"/>
        </w:rPr>
        <w:t xml:space="preserve"> dicho establecimiento permanente.</w:t>
      </w:r>
    </w:p>
    <w:p w:rsidR="009B2F93" w:rsidRPr="00EA7F3F" w:rsidRDefault="009B2F93" w:rsidP="00EA7F3F">
      <w:pPr>
        <w:pStyle w:val="Prrafodelista"/>
        <w:numPr>
          <w:ilvl w:val="0"/>
          <w:numId w:val="1"/>
        </w:numPr>
        <w:spacing w:line="360" w:lineRule="auto"/>
        <w:jc w:val="both"/>
        <w:rPr>
          <w:rFonts w:ascii="Arial" w:hAnsi="Arial" w:cs="Arial"/>
          <w:color w:val="000000" w:themeColor="text1"/>
          <w:sz w:val="24"/>
          <w:szCs w:val="24"/>
          <w:u w:val="single"/>
        </w:rPr>
      </w:pPr>
      <w:r w:rsidRPr="00EA7F3F">
        <w:rPr>
          <w:rFonts w:ascii="Arial" w:hAnsi="Arial" w:cs="Arial"/>
          <w:color w:val="000000" w:themeColor="text1"/>
          <w:sz w:val="24"/>
          <w:szCs w:val="24"/>
          <w:u w:val="single"/>
        </w:rPr>
        <w:t>Los residentes en el extranjero, respecto de los ingresos procedentes de fuentes de riqueza situadas en territorio nacional, cuando no tengan un establecimiento permanente en el país, o cuando teniéndolo, dichos ingresos no sean atribuibles a éste</w:t>
      </w:r>
      <w:r w:rsidR="003113EA" w:rsidRPr="00EA7F3F">
        <w:rPr>
          <w:rFonts w:ascii="Arial" w:hAnsi="Arial" w:cs="Arial"/>
          <w:color w:val="000000" w:themeColor="text1"/>
          <w:sz w:val="24"/>
          <w:szCs w:val="24"/>
          <w:u w:val="single"/>
        </w:rPr>
        <w:t>.</w:t>
      </w:r>
    </w:p>
    <w:p w:rsidR="00053E0C" w:rsidRPr="00EA7F3F" w:rsidRDefault="003113EA" w:rsidP="00EA7F3F">
      <w:pPr>
        <w:spacing w:line="360" w:lineRule="auto"/>
        <w:jc w:val="both"/>
        <w:rPr>
          <w:rFonts w:ascii="Arial" w:hAnsi="Arial" w:cs="Arial"/>
          <w:color w:val="1F3864" w:themeColor="accent5" w:themeShade="80"/>
          <w:sz w:val="24"/>
          <w:szCs w:val="24"/>
        </w:rPr>
      </w:pPr>
      <w:r w:rsidRPr="00EA7F3F">
        <w:rPr>
          <w:rFonts w:ascii="Arial" w:hAnsi="Arial" w:cs="Arial"/>
          <w:color w:val="1F3864" w:themeColor="accent5" w:themeShade="80"/>
          <w:sz w:val="24"/>
          <w:szCs w:val="24"/>
        </w:rPr>
        <w:t>El supuesto en el que recae la empresa es e</w:t>
      </w:r>
      <w:r w:rsidR="00053E0C" w:rsidRPr="00EA7F3F">
        <w:rPr>
          <w:rFonts w:ascii="Arial" w:hAnsi="Arial" w:cs="Arial"/>
          <w:color w:val="1F3864" w:themeColor="accent5" w:themeShade="80"/>
          <w:sz w:val="24"/>
          <w:szCs w:val="24"/>
        </w:rPr>
        <w:t>l citado en la Fracción I</w:t>
      </w:r>
      <w:r w:rsidRPr="00EA7F3F">
        <w:rPr>
          <w:rFonts w:ascii="Arial" w:hAnsi="Arial" w:cs="Arial"/>
          <w:color w:val="1F3864" w:themeColor="accent5" w:themeShade="80"/>
          <w:sz w:val="24"/>
          <w:szCs w:val="24"/>
        </w:rPr>
        <w:t xml:space="preserve"> de dicho artícul</w:t>
      </w:r>
      <w:r w:rsidR="001B5473" w:rsidRPr="00EA7F3F">
        <w:rPr>
          <w:rFonts w:ascii="Arial" w:hAnsi="Arial" w:cs="Arial"/>
          <w:color w:val="1F3864" w:themeColor="accent5" w:themeShade="80"/>
          <w:sz w:val="24"/>
          <w:szCs w:val="24"/>
        </w:rPr>
        <w:t>o considerando que son residentes en territorio nacional y los ingresos obtenidos provienen de Japón.</w:t>
      </w:r>
    </w:p>
    <w:p w:rsidR="00053E0C" w:rsidRPr="00EA7F3F" w:rsidRDefault="00053E0C" w:rsidP="00EA7F3F">
      <w:pPr>
        <w:spacing w:line="360" w:lineRule="auto"/>
        <w:jc w:val="both"/>
        <w:rPr>
          <w:rFonts w:ascii="Arial" w:hAnsi="Arial" w:cs="Arial"/>
          <w:color w:val="000000" w:themeColor="text1"/>
          <w:sz w:val="24"/>
          <w:szCs w:val="24"/>
        </w:rPr>
      </w:pPr>
    </w:p>
    <w:p w:rsidR="009B2F93" w:rsidRPr="00EA7F3F" w:rsidRDefault="009B2F93" w:rsidP="00EA7F3F">
      <w:pPr>
        <w:spacing w:line="360" w:lineRule="auto"/>
        <w:jc w:val="both"/>
        <w:rPr>
          <w:rFonts w:ascii="Arial" w:hAnsi="Arial" w:cs="Arial"/>
          <w:color w:val="000000" w:themeColor="text1"/>
          <w:sz w:val="24"/>
          <w:szCs w:val="24"/>
        </w:rPr>
      </w:pPr>
    </w:p>
    <w:p w:rsidR="001B5473" w:rsidRPr="00EA7F3F" w:rsidRDefault="00766D23" w:rsidP="00EA7F3F">
      <w:pPr>
        <w:pStyle w:val="Texto"/>
        <w:spacing w:after="92" w:line="360" w:lineRule="auto"/>
        <w:ind w:firstLine="0"/>
        <w:rPr>
          <w:color w:val="000000" w:themeColor="text1"/>
          <w:sz w:val="24"/>
          <w:szCs w:val="24"/>
          <w:u w:val="single"/>
        </w:rPr>
      </w:pPr>
      <w:r w:rsidRPr="00EA7F3F">
        <w:rPr>
          <w:color w:val="000000" w:themeColor="text1"/>
          <w:sz w:val="24"/>
          <w:szCs w:val="24"/>
          <w:u w:val="single"/>
        </w:rPr>
        <w:t>El</w:t>
      </w:r>
      <w:r w:rsidR="001B5473" w:rsidRPr="00EA7F3F">
        <w:rPr>
          <w:color w:val="000000" w:themeColor="text1"/>
          <w:sz w:val="24"/>
          <w:szCs w:val="24"/>
          <w:u w:val="single"/>
        </w:rPr>
        <w:t xml:space="preserve"> artículo 16 </w:t>
      </w:r>
      <w:r w:rsidR="001B6009" w:rsidRPr="00EA7F3F">
        <w:rPr>
          <w:color w:val="000000" w:themeColor="text1"/>
          <w:sz w:val="24"/>
          <w:szCs w:val="24"/>
          <w:u w:val="single"/>
        </w:rPr>
        <w:t>LISR (</w:t>
      </w:r>
      <w:r w:rsidRPr="00EA7F3F">
        <w:rPr>
          <w:color w:val="000000" w:themeColor="text1"/>
          <w:sz w:val="24"/>
          <w:szCs w:val="24"/>
          <w:u w:val="single"/>
        </w:rPr>
        <w:t>de los ingresos) aplica</w:t>
      </w:r>
      <w:r w:rsidR="001B5473" w:rsidRPr="00EA7F3F">
        <w:rPr>
          <w:color w:val="000000" w:themeColor="text1"/>
          <w:sz w:val="24"/>
          <w:szCs w:val="24"/>
          <w:u w:val="single"/>
        </w:rPr>
        <w:t xml:space="preserve"> lo siguiente:</w:t>
      </w:r>
    </w:p>
    <w:p w:rsidR="007D5A09" w:rsidRPr="00EA7F3F" w:rsidRDefault="00ED0981" w:rsidP="00EA7F3F">
      <w:pPr>
        <w:pStyle w:val="Texto"/>
        <w:spacing w:after="92" w:line="360" w:lineRule="auto"/>
        <w:ind w:firstLine="0"/>
        <w:rPr>
          <w:color w:val="000000" w:themeColor="text1"/>
          <w:sz w:val="24"/>
          <w:szCs w:val="24"/>
          <w:u w:val="single"/>
        </w:rPr>
      </w:pPr>
      <w:r w:rsidRPr="00EA7F3F">
        <w:rPr>
          <w:b/>
          <w:color w:val="000000" w:themeColor="text1"/>
          <w:sz w:val="24"/>
          <w:szCs w:val="24"/>
          <w:u w:val="single"/>
        </w:rPr>
        <w:t>Las personas morales residentes en el país</w:t>
      </w:r>
      <w:r w:rsidRPr="00EA7F3F">
        <w:rPr>
          <w:color w:val="000000" w:themeColor="text1"/>
          <w:sz w:val="24"/>
          <w:szCs w:val="24"/>
          <w:u w:val="single"/>
        </w:rPr>
        <w:t xml:space="preserve">, incluida la asociación en participación, </w:t>
      </w:r>
      <w:r w:rsidRPr="00EA7F3F">
        <w:rPr>
          <w:b/>
          <w:color w:val="000000" w:themeColor="text1"/>
          <w:sz w:val="24"/>
          <w:szCs w:val="24"/>
          <w:u w:val="single"/>
        </w:rPr>
        <w:t>acumularán la totalidad de los ingresos en efectivo, en bienes, en servicio, en crédito o de cualquier otro tipo</w:t>
      </w:r>
      <w:r w:rsidRPr="00EA7F3F">
        <w:rPr>
          <w:color w:val="000000" w:themeColor="text1"/>
          <w:sz w:val="24"/>
          <w:szCs w:val="24"/>
          <w:u w:val="single"/>
        </w:rPr>
        <w:t>, que obtengan en el ejercicio, inclusive los provenientes de sus establecimientos en el extranjero. El ajuste anual por inflación acumulable es el ingreso que obtienen los contribuyentes por la disminución real de sus deudas.</w:t>
      </w:r>
    </w:p>
    <w:p w:rsidR="00ED0981" w:rsidRPr="00EA7F3F" w:rsidRDefault="00ED0981" w:rsidP="00EA7F3F">
      <w:pPr>
        <w:pStyle w:val="Texto"/>
        <w:spacing w:after="92" w:line="360" w:lineRule="auto"/>
        <w:ind w:firstLine="0"/>
        <w:rPr>
          <w:color w:val="000000" w:themeColor="text1"/>
          <w:sz w:val="24"/>
          <w:szCs w:val="24"/>
          <w:u w:val="single"/>
        </w:rPr>
      </w:pPr>
      <w:r w:rsidRPr="00EA7F3F">
        <w:rPr>
          <w:color w:val="000000" w:themeColor="text1"/>
          <w:sz w:val="24"/>
          <w:szCs w:val="24"/>
          <w:u w:val="single"/>
        </w:rPr>
        <w:t xml:space="preserve">Para los efectos de este Título, </w:t>
      </w:r>
      <w:r w:rsidRPr="00EA7F3F">
        <w:rPr>
          <w:b/>
          <w:color w:val="000000" w:themeColor="text1"/>
          <w:sz w:val="24"/>
          <w:szCs w:val="24"/>
          <w:u w:val="single"/>
        </w:rPr>
        <w:t>no se consideran ingresos los que obtenga el contribuyente por aumento de capital</w:t>
      </w:r>
      <w:r w:rsidR="007D5A09" w:rsidRPr="00EA7F3F">
        <w:rPr>
          <w:b/>
          <w:color w:val="000000" w:themeColor="text1"/>
          <w:sz w:val="24"/>
          <w:szCs w:val="24"/>
          <w:u w:val="single"/>
        </w:rPr>
        <w:t xml:space="preserve"> (estrategia que se podría aplicar posteriormente en caso de recibir una inversión adicional a la primera)</w:t>
      </w:r>
      <w:r w:rsidRPr="00EA7F3F">
        <w:rPr>
          <w:color w:val="000000" w:themeColor="text1"/>
          <w:sz w:val="24"/>
          <w:szCs w:val="24"/>
          <w:u w:val="single"/>
        </w:rPr>
        <w:t xml:space="preserve">, por pago de la pérdida por sus accionistas, por primas obtenidas por la colocación de acciones que emita la propia sociedad o por utilizar para </w:t>
      </w:r>
      <w:proofErr w:type="spellStart"/>
      <w:r w:rsidRPr="00EA7F3F">
        <w:rPr>
          <w:color w:val="000000" w:themeColor="text1"/>
          <w:sz w:val="24"/>
          <w:szCs w:val="24"/>
          <w:u w:val="single"/>
        </w:rPr>
        <w:t>valuar</w:t>
      </w:r>
      <w:proofErr w:type="spellEnd"/>
      <w:r w:rsidRPr="00EA7F3F">
        <w:rPr>
          <w:color w:val="000000" w:themeColor="text1"/>
          <w:sz w:val="24"/>
          <w:szCs w:val="24"/>
          <w:u w:val="single"/>
        </w:rPr>
        <w:t xml:space="preserve"> sus acciones el método de participación ni los que obtengan con motivo de la revaluación de sus activos y de su capital.</w:t>
      </w:r>
    </w:p>
    <w:p w:rsidR="001B5473" w:rsidRPr="00EA7F3F" w:rsidRDefault="001B5473" w:rsidP="00EA7F3F">
      <w:pPr>
        <w:pStyle w:val="Texto"/>
        <w:spacing w:after="92" w:line="360" w:lineRule="auto"/>
        <w:ind w:firstLine="0"/>
        <w:rPr>
          <w:color w:val="1F3864" w:themeColor="accent5" w:themeShade="80"/>
          <w:sz w:val="24"/>
          <w:szCs w:val="24"/>
        </w:rPr>
      </w:pPr>
      <w:r w:rsidRPr="00EA7F3F">
        <w:rPr>
          <w:color w:val="1F3864" w:themeColor="accent5" w:themeShade="80"/>
          <w:sz w:val="24"/>
          <w:szCs w:val="24"/>
        </w:rPr>
        <w:t>Correspondiente a lo planteado, la estrategia se basara en la parte constitutiva de ambas empresas considerando:</w:t>
      </w:r>
    </w:p>
    <w:p w:rsidR="001B5473" w:rsidRPr="00EA7F3F" w:rsidRDefault="001B5473" w:rsidP="00EA7F3F">
      <w:pPr>
        <w:pStyle w:val="Texto"/>
        <w:numPr>
          <w:ilvl w:val="0"/>
          <w:numId w:val="2"/>
        </w:numPr>
        <w:spacing w:after="92" w:line="360" w:lineRule="auto"/>
        <w:rPr>
          <w:color w:val="1F3864" w:themeColor="accent5" w:themeShade="80"/>
          <w:sz w:val="24"/>
          <w:szCs w:val="24"/>
        </w:rPr>
      </w:pPr>
      <w:r w:rsidRPr="00EA7F3F">
        <w:rPr>
          <w:color w:val="1F3864" w:themeColor="accent5" w:themeShade="80"/>
          <w:sz w:val="24"/>
          <w:szCs w:val="24"/>
        </w:rPr>
        <w:t xml:space="preserve">Los </w:t>
      </w:r>
      <w:r w:rsidRPr="00EA7F3F">
        <w:rPr>
          <w:b/>
          <w:color w:val="1F3864" w:themeColor="accent5" w:themeShade="80"/>
          <w:sz w:val="24"/>
          <w:szCs w:val="24"/>
        </w:rPr>
        <w:t>socios</w:t>
      </w:r>
      <w:r w:rsidRPr="00EA7F3F">
        <w:rPr>
          <w:color w:val="1F3864" w:themeColor="accent5" w:themeShade="80"/>
          <w:sz w:val="24"/>
          <w:szCs w:val="24"/>
        </w:rPr>
        <w:t xml:space="preserve"> de las empresas de Estados Unidos y </w:t>
      </w:r>
      <w:r w:rsidR="00BD79CD" w:rsidRPr="00EA7F3F">
        <w:rPr>
          <w:color w:val="1F3864" w:themeColor="accent5" w:themeShade="80"/>
          <w:sz w:val="24"/>
          <w:szCs w:val="24"/>
        </w:rPr>
        <w:t xml:space="preserve">México </w:t>
      </w:r>
      <w:r w:rsidR="00BD79CD" w:rsidRPr="00EA7F3F">
        <w:rPr>
          <w:b/>
          <w:color w:val="1F3864" w:themeColor="accent5" w:themeShade="80"/>
          <w:sz w:val="24"/>
          <w:szCs w:val="24"/>
        </w:rPr>
        <w:t>NO</w:t>
      </w:r>
      <w:r w:rsidRPr="00EA7F3F">
        <w:rPr>
          <w:color w:val="1F3864" w:themeColor="accent5" w:themeShade="80"/>
          <w:sz w:val="24"/>
          <w:szCs w:val="24"/>
        </w:rPr>
        <w:t xml:space="preserve"> </w:t>
      </w:r>
      <w:r w:rsidRPr="00EA7F3F">
        <w:rPr>
          <w:b/>
          <w:color w:val="1F3864" w:themeColor="accent5" w:themeShade="80"/>
          <w:sz w:val="24"/>
          <w:szCs w:val="24"/>
        </w:rPr>
        <w:t>deben ser los mismos</w:t>
      </w:r>
      <w:r w:rsidR="007D5A09" w:rsidRPr="00EA7F3F">
        <w:rPr>
          <w:b/>
          <w:color w:val="1F3864" w:themeColor="accent5" w:themeShade="80"/>
          <w:sz w:val="24"/>
          <w:szCs w:val="24"/>
        </w:rPr>
        <w:t xml:space="preserve"> </w:t>
      </w:r>
      <w:r w:rsidR="00766D23" w:rsidRPr="00EA7F3F">
        <w:rPr>
          <w:b/>
          <w:color w:val="1F3864" w:themeColor="accent5" w:themeShade="80"/>
          <w:sz w:val="24"/>
          <w:szCs w:val="24"/>
        </w:rPr>
        <w:t>(en</w:t>
      </w:r>
      <w:r w:rsidR="007D5A09" w:rsidRPr="00EA7F3F">
        <w:rPr>
          <w:b/>
          <w:color w:val="1F3864" w:themeColor="accent5" w:themeShade="80"/>
          <w:sz w:val="24"/>
          <w:szCs w:val="24"/>
        </w:rPr>
        <w:t xml:space="preserve"> actas constitutivas)</w:t>
      </w:r>
      <w:r w:rsidRPr="00EA7F3F">
        <w:rPr>
          <w:color w:val="1F3864" w:themeColor="accent5" w:themeShade="80"/>
          <w:sz w:val="24"/>
          <w:szCs w:val="24"/>
        </w:rPr>
        <w:t>, refiriéndome a esto con el fin de evitar que existan partes relacionadas y caer en un supuesto que en términos fiscales Mexicanos remiten a un tratamiento fiscal diferente</w:t>
      </w:r>
      <w:r w:rsidR="00766D23" w:rsidRPr="00EA7F3F">
        <w:rPr>
          <w:color w:val="1F3864" w:themeColor="accent5" w:themeShade="80"/>
          <w:sz w:val="24"/>
          <w:szCs w:val="24"/>
        </w:rPr>
        <w:t>,</w:t>
      </w:r>
      <w:r w:rsidRPr="00EA7F3F">
        <w:rPr>
          <w:color w:val="1F3864" w:themeColor="accent5" w:themeShade="80"/>
          <w:sz w:val="24"/>
          <w:szCs w:val="24"/>
        </w:rPr>
        <w:t xml:space="preserve"> con mayor número de obligaciones</w:t>
      </w:r>
      <w:r w:rsidR="007D5A09" w:rsidRPr="00EA7F3F">
        <w:rPr>
          <w:color w:val="1F3864" w:themeColor="accent5" w:themeShade="80"/>
          <w:sz w:val="24"/>
          <w:szCs w:val="24"/>
        </w:rPr>
        <w:t>, pago de impuestos y mayor vigilancia por parte del fisco (SHCP),</w:t>
      </w:r>
      <w:r w:rsidRPr="00EA7F3F">
        <w:rPr>
          <w:color w:val="1F3864" w:themeColor="accent5" w:themeShade="80"/>
          <w:sz w:val="24"/>
          <w:szCs w:val="24"/>
        </w:rPr>
        <w:t xml:space="preserve"> fundamentado en el artículo 179 LISR</w:t>
      </w:r>
      <w:r w:rsidR="007D5A09" w:rsidRPr="00EA7F3F">
        <w:rPr>
          <w:color w:val="1F3864" w:themeColor="accent5" w:themeShade="80"/>
          <w:sz w:val="24"/>
          <w:szCs w:val="24"/>
        </w:rPr>
        <w:t>.</w:t>
      </w:r>
    </w:p>
    <w:p w:rsidR="007D5A09" w:rsidRPr="00EA7F3F" w:rsidRDefault="007D5A09" w:rsidP="00EA7F3F">
      <w:pPr>
        <w:pStyle w:val="Texto"/>
        <w:spacing w:line="360" w:lineRule="auto"/>
        <w:ind w:firstLine="0"/>
        <w:rPr>
          <w:color w:val="000000" w:themeColor="text1"/>
          <w:sz w:val="24"/>
          <w:szCs w:val="24"/>
          <w:u w:val="single"/>
        </w:rPr>
      </w:pPr>
      <w:r w:rsidRPr="00EA7F3F">
        <w:rPr>
          <w:b/>
          <w:color w:val="000000" w:themeColor="text1"/>
          <w:sz w:val="24"/>
          <w:szCs w:val="24"/>
          <w:u w:val="single"/>
        </w:rPr>
        <w:t xml:space="preserve">Artículo 179. </w:t>
      </w:r>
      <w:r w:rsidRPr="00EA7F3F">
        <w:rPr>
          <w:color w:val="000000" w:themeColor="text1"/>
          <w:sz w:val="24"/>
          <w:szCs w:val="24"/>
          <w:u w:val="single"/>
        </w:rPr>
        <w:t xml:space="preserve">Los contribuyentes del Título II de esta Ley, que </w:t>
      </w:r>
      <w:r w:rsidRPr="00EA7F3F">
        <w:rPr>
          <w:b/>
          <w:color w:val="000000" w:themeColor="text1"/>
          <w:sz w:val="24"/>
          <w:szCs w:val="24"/>
          <w:u w:val="single"/>
        </w:rPr>
        <w:t>celebren operaciones con partes relacionadas residentes en el extranjero están obligados, para efectos de esta Ley, a determinar sus ingresos acumulables y deducciones autorizadas, considerando para esas operaciones los precios</w:t>
      </w:r>
      <w:r w:rsidRPr="00EA7F3F">
        <w:rPr>
          <w:color w:val="000000" w:themeColor="text1"/>
          <w:sz w:val="24"/>
          <w:szCs w:val="24"/>
          <w:u w:val="single"/>
        </w:rPr>
        <w:t xml:space="preserve"> y montos de contraprestaciones que hubieran utilizado con o entre partes independientes en operaciones comparables.</w:t>
      </w:r>
    </w:p>
    <w:p w:rsidR="007D5A09" w:rsidRPr="00EA7F3F" w:rsidRDefault="007D5A09" w:rsidP="00EA7F3F">
      <w:pPr>
        <w:pStyle w:val="Texto"/>
        <w:spacing w:line="360" w:lineRule="auto"/>
        <w:ind w:firstLine="0"/>
        <w:rPr>
          <w:color w:val="000000" w:themeColor="text1"/>
          <w:sz w:val="24"/>
          <w:szCs w:val="24"/>
          <w:u w:val="single"/>
        </w:rPr>
      </w:pPr>
      <w:r w:rsidRPr="00EA7F3F">
        <w:rPr>
          <w:color w:val="000000" w:themeColor="text1"/>
          <w:sz w:val="24"/>
          <w:szCs w:val="24"/>
          <w:u w:val="single"/>
        </w:rPr>
        <w:t xml:space="preserve">En el caso contrario, </w:t>
      </w:r>
      <w:r w:rsidRPr="00EA7F3F">
        <w:rPr>
          <w:b/>
          <w:color w:val="000000" w:themeColor="text1"/>
          <w:sz w:val="24"/>
          <w:szCs w:val="24"/>
          <w:u w:val="single"/>
        </w:rPr>
        <w:t>las autoridades fiscales podrán determinar los ingresos acumulables y deducciones autorizadas de los contribuyentes, mediante la determinación del precio o monto de la contraprestación en operaciones celebradas entre partes relacionadas</w:t>
      </w:r>
      <w:r w:rsidRPr="00EA7F3F">
        <w:rPr>
          <w:color w:val="000000" w:themeColor="text1"/>
          <w:sz w:val="24"/>
          <w:szCs w:val="24"/>
          <w:u w:val="single"/>
        </w:rPr>
        <w:t>, considerando para esas operaciones los precios y montos de contraprestaciones que hubieran utilizado partes independientes en operaciones comparables, ya sea que éstas sean con personas morales, residentes en el país o en el extranjero, personas físicas y establecimientos permanentes en el país de residentes en el extranjero, así como en el caso de las actividades realizadas a través de fideicomisos.</w:t>
      </w:r>
    </w:p>
    <w:p w:rsidR="007D5A09" w:rsidRPr="00EA7F3F" w:rsidRDefault="007D5A09" w:rsidP="00EA7F3F">
      <w:pPr>
        <w:pStyle w:val="Texto"/>
        <w:spacing w:after="92" w:line="360" w:lineRule="auto"/>
        <w:ind w:firstLine="0"/>
        <w:rPr>
          <w:color w:val="000000" w:themeColor="text1"/>
          <w:sz w:val="24"/>
          <w:szCs w:val="24"/>
          <w:u w:val="single"/>
        </w:rPr>
      </w:pPr>
      <w:r w:rsidRPr="00EA7F3F">
        <w:rPr>
          <w:color w:val="000000" w:themeColor="text1"/>
          <w:sz w:val="24"/>
          <w:szCs w:val="24"/>
          <w:u w:val="single"/>
        </w:rPr>
        <w:t xml:space="preserve">Se considera que dos o más personas son partes relacionadas, </w:t>
      </w:r>
      <w:r w:rsidRPr="00EA7F3F">
        <w:rPr>
          <w:b/>
          <w:color w:val="000000" w:themeColor="text1"/>
          <w:sz w:val="24"/>
          <w:szCs w:val="24"/>
          <w:u w:val="single"/>
        </w:rPr>
        <w:t>cuando una participa de manera directa o indirecta en la administración, control o capital de la otra, o cuando una persona o grupo de personas participe directa o indirectamente en la administración, control o capital de dichas personas.</w:t>
      </w:r>
      <w:r w:rsidRPr="00EA7F3F">
        <w:rPr>
          <w:color w:val="000000" w:themeColor="text1"/>
          <w:sz w:val="24"/>
          <w:szCs w:val="24"/>
          <w:u w:val="single"/>
        </w:rPr>
        <w:t xml:space="preserve"> Tratándose de asociaciones en participación, se consideran como partes relacionadas sus integrantes, así como las personas que conforme a este párrafo se consideren partes relacionadas de dicho integrante.</w:t>
      </w:r>
    </w:p>
    <w:p w:rsidR="00E87BD9" w:rsidRPr="00EA7F3F" w:rsidRDefault="007D5A09" w:rsidP="00EA7F3F">
      <w:pPr>
        <w:pStyle w:val="Texto"/>
        <w:numPr>
          <w:ilvl w:val="0"/>
          <w:numId w:val="2"/>
        </w:numPr>
        <w:spacing w:after="92" w:line="360" w:lineRule="auto"/>
        <w:rPr>
          <w:color w:val="1F3864" w:themeColor="accent5" w:themeShade="80"/>
          <w:sz w:val="24"/>
          <w:szCs w:val="24"/>
        </w:rPr>
      </w:pPr>
      <w:r w:rsidRPr="00EA7F3F">
        <w:rPr>
          <w:color w:val="1F3864" w:themeColor="accent5" w:themeShade="80"/>
          <w:sz w:val="24"/>
          <w:szCs w:val="24"/>
        </w:rPr>
        <w:t xml:space="preserve">Para evitar lo antes mencionado en el artículo 179 LISR, es necesario que el dinero </w:t>
      </w:r>
      <w:r w:rsidR="00E87BD9" w:rsidRPr="00EA7F3F">
        <w:rPr>
          <w:color w:val="1F3864" w:themeColor="accent5" w:themeShade="80"/>
          <w:sz w:val="24"/>
          <w:szCs w:val="24"/>
        </w:rPr>
        <w:t>proveniente</w:t>
      </w:r>
      <w:r w:rsidRPr="00EA7F3F">
        <w:rPr>
          <w:color w:val="1F3864" w:themeColor="accent5" w:themeShade="80"/>
          <w:sz w:val="24"/>
          <w:szCs w:val="24"/>
        </w:rPr>
        <w:t xml:space="preserve"> del extranjero, en este caso la empresa de EU, </w:t>
      </w:r>
      <w:r w:rsidR="00E87BD9" w:rsidRPr="00EA7F3F">
        <w:rPr>
          <w:color w:val="1F3864" w:themeColor="accent5" w:themeShade="80"/>
          <w:sz w:val="24"/>
          <w:szCs w:val="24"/>
        </w:rPr>
        <w:t>lo envié como concepto de préstamo, con el fin de que la empresa constituida en México NO acumule esa aportación como un ingreso, fundamentando esto con el siguiente artículo</w:t>
      </w:r>
      <w:r w:rsidR="00766D23" w:rsidRPr="00EA7F3F">
        <w:rPr>
          <w:color w:val="1F3864" w:themeColor="accent5" w:themeShade="80"/>
          <w:sz w:val="24"/>
          <w:szCs w:val="24"/>
        </w:rPr>
        <w:t>:</w:t>
      </w:r>
    </w:p>
    <w:p w:rsidR="00ED0981" w:rsidRPr="00EA7F3F" w:rsidRDefault="00ED0981" w:rsidP="00EA7F3F">
      <w:pPr>
        <w:spacing w:line="360" w:lineRule="auto"/>
        <w:jc w:val="both"/>
        <w:rPr>
          <w:rFonts w:ascii="Arial" w:hAnsi="Arial" w:cs="Arial"/>
          <w:color w:val="000000" w:themeColor="text1"/>
          <w:sz w:val="24"/>
          <w:szCs w:val="24"/>
          <w:u w:val="single"/>
        </w:rPr>
      </w:pPr>
      <w:r w:rsidRPr="00EA7F3F">
        <w:rPr>
          <w:rFonts w:ascii="Arial" w:hAnsi="Arial" w:cs="Arial"/>
          <w:b/>
          <w:color w:val="000000" w:themeColor="text1"/>
          <w:sz w:val="24"/>
          <w:szCs w:val="24"/>
          <w:u w:val="single"/>
        </w:rPr>
        <w:t>Artículo 18.</w:t>
      </w:r>
      <w:r w:rsidRPr="00EA7F3F">
        <w:rPr>
          <w:rFonts w:ascii="Arial" w:hAnsi="Arial" w:cs="Arial"/>
          <w:color w:val="000000" w:themeColor="text1"/>
          <w:sz w:val="24"/>
          <w:szCs w:val="24"/>
          <w:u w:val="single"/>
        </w:rPr>
        <w:t xml:space="preserve"> Para los efectos de este Título, se consideran ingresos acumulables</w:t>
      </w:r>
    </w:p>
    <w:p w:rsidR="0080371C" w:rsidRPr="00EA7F3F" w:rsidRDefault="00ED0981" w:rsidP="00EA7F3F">
      <w:pPr>
        <w:pStyle w:val="Texto"/>
        <w:spacing w:line="360" w:lineRule="auto"/>
        <w:ind w:left="1008" w:hanging="720"/>
        <w:rPr>
          <w:color w:val="000000" w:themeColor="text1"/>
          <w:sz w:val="24"/>
          <w:szCs w:val="24"/>
          <w:u w:val="single"/>
        </w:rPr>
      </w:pPr>
      <w:r w:rsidRPr="00EA7F3F">
        <w:rPr>
          <w:b/>
          <w:color w:val="000000" w:themeColor="text1"/>
          <w:sz w:val="24"/>
          <w:szCs w:val="24"/>
          <w:u w:val="single"/>
        </w:rPr>
        <w:t>XI.</w:t>
      </w:r>
      <w:r w:rsidRPr="00EA7F3F">
        <w:rPr>
          <w:b/>
          <w:color w:val="000000" w:themeColor="text1"/>
          <w:sz w:val="24"/>
          <w:szCs w:val="24"/>
          <w:u w:val="single"/>
        </w:rPr>
        <w:tab/>
      </w:r>
      <w:r w:rsidRPr="00EA7F3F">
        <w:rPr>
          <w:color w:val="000000" w:themeColor="text1"/>
          <w:sz w:val="24"/>
          <w:szCs w:val="24"/>
          <w:u w:val="single"/>
        </w:rPr>
        <w:t xml:space="preserve">Las </w:t>
      </w:r>
      <w:r w:rsidRPr="00EA7F3F">
        <w:rPr>
          <w:b/>
          <w:color w:val="000000" w:themeColor="text1"/>
          <w:sz w:val="24"/>
          <w:szCs w:val="24"/>
          <w:u w:val="single"/>
        </w:rPr>
        <w:t>cantidades recibidas</w:t>
      </w:r>
      <w:r w:rsidRPr="00EA7F3F">
        <w:rPr>
          <w:color w:val="000000" w:themeColor="text1"/>
          <w:sz w:val="24"/>
          <w:szCs w:val="24"/>
          <w:u w:val="single"/>
        </w:rPr>
        <w:t xml:space="preserve"> en efectivo, </w:t>
      </w:r>
      <w:r w:rsidRPr="00EA7F3F">
        <w:rPr>
          <w:b/>
          <w:color w:val="000000" w:themeColor="text1"/>
          <w:sz w:val="24"/>
          <w:szCs w:val="24"/>
          <w:u w:val="single"/>
        </w:rPr>
        <w:t>en moneda</w:t>
      </w:r>
      <w:r w:rsidRPr="00EA7F3F">
        <w:rPr>
          <w:color w:val="000000" w:themeColor="text1"/>
          <w:sz w:val="24"/>
          <w:szCs w:val="24"/>
          <w:u w:val="single"/>
        </w:rPr>
        <w:t xml:space="preserve"> nacional o </w:t>
      </w:r>
      <w:r w:rsidRPr="00EA7F3F">
        <w:rPr>
          <w:b/>
          <w:color w:val="000000" w:themeColor="text1"/>
          <w:sz w:val="24"/>
          <w:szCs w:val="24"/>
          <w:u w:val="single"/>
        </w:rPr>
        <w:t>extranjera, por concepto de préstamos</w:t>
      </w:r>
      <w:r w:rsidRPr="00EA7F3F">
        <w:rPr>
          <w:color w:val="000000" w:themeColor="text1"/>
          <w:sz w:val="24"/>
          <w:szCs w:val="24"/>
          <w:u w:val="single"/>
        </w:rPr>
        <w:t xml:space="preserve">, aportaciones para futuros aumentos de capital o aumentos de capital </w:t>
      </w:r>
      <w:r w:rsidRPr="00EA7F3F">
        <w:rPr>
          <w:b/>
          <w:color w:val="000000" w:themeColor="text1"/>
          <w:sz w:val="24"/>
          <w:szCs w:val="24"/>
          <w:u w:val="single"/>
        </w:rPr>
        <w:t>mayores a $600,000.00,</w:t>
      </w:r>
      <w:r w:rsidRPr="00EA7F3F">
        <w:rPr>
          <w:color w:val="000000" w:themeColor="text1"/>
          <w:sz w:val="24"/>
          <w:szCs w:val="24"/>
          <w:u w:val="single"/>
        </w:rPr>
        <w:t xml:space="preserve"> cuando no se cumpla con lo previsto en el artículo 76, fracción XVI de esta Ley.</w:t>
      </w:r>
      <w:r w:rsidR="0080371C" w:rsidRPr="00EA7F3F">
        <w:rPr>
          <w:color w:val="000000" w:themeColor="text1"/>
          <w:sz w:val="24"/>
          <w:szCs w:val="24"/>
          <w:u w:val="single"/>
        </w:rPr>
        <w:t xml:space="preserve"> </w:t>
      </w:r>
    </w:p>
    <w:p w:rsidR="0080371C" w:rsidRPr="00EA7F3F" w:rsidRDefault="0080371C" w:rsidP="00EA7F3F">
      <w:pPr>
        <w:spacing w:line="360" w:lineRule="auto"/>
        <w:jc w:val="both"/>
        <w:rPr>
          <w:rFonts w:ascii="Arial" w:hAnsi="Arial" w:cs="Arial"/>
          <w:b/>
          <w:color w:val="000000" w:themeColor="text1"/>
          <w:sz w:val="24"/>
          <w:szCs w:val="24"/>
          <w:u w:val="single"/>
        </w:rPr>
      </w:pPr>
      <w:r w:rsidRPr="00EA7F3F">
        <w:rPr>
          <w:rFonts w:ascii="Arial" w:hAnsi="Arial" w:cs="Arial"/>
          <w:color w:val="000000" w:themeColor="text1"/>
          <w:sz w:val="24"/>
          <w:szCs w:val="24"/>
          <w:u w:val="single"/>
        </w:rPr>
        <w:t>De acuerdo al artículo 76 fracción XVI LISR se obliga a lo siguiente, Informar</w:t>
      </w:r>
      <w:r w:rsidRPr="00EA7F3F">
        <w:rPr>
          <w:rFonts w:ascii="Arial" w:hAnsi="Arial" w:cs="Arial"/>
          <w:b/>
          <w:color w:val="000000" w:themeColor="text1"/>
          <w:sz w:val="24"/>
          <w:szCs w:val="24"/>
          <w:u w:val="single"/>
        </w:rPr>
        <w:t xml:space="preserve"> a las autoridades fiscales</w:t>
      </w:r>
      <w:r w:rsidRPr="00EA7F3F">
        <w:rPr>
          <w:rFonts w:ascii="Arial" w:hAnsi="Arial" w:cs="Arial"/>
          <w:color w:val="000000" w:themeColor="text1"/>
          <w:sz w:val="24"/>
          <w:szCs w:val="24"/>
          <w:u w:val="single"/>
        </w:rPr>
        <w:t xml:space="preserve">, a través de los medios y formatos que para tal efecto señale el Servicio de Administración Tributaria mediante reglas de carácter general, </w:t>
      </w:r>
      <w:r w:rsidRPr="00EA7F3F">
        <w:rPr>
          <w:rFonts w:ascii="Arial" w:hAnsi="Arial" w:cs="Arial"/>
          <w:b/>
          <w:color w:val="000000" w:themeColor="text1"/>
          <w:sz w:val="24"/>
          <w:szCs w:val="24"/>
          <w:u w:val="single"/>
        </w:rPr>
        <w:t>de los préstamos</w:t>
      </w:r>
      <w:r w:rsidRPr="00EA7F3F">
        <w:rPr>
          <w:rFonts w:ascii="Arial" w:hAnsi="Arial" w:cs="Arial"/>
          <w:color w:val="000000" w:themeColor="text1"/>
          <w:sz w:val="24"/>
          <w:szCs w:val="24"/>
          <w:u w:val="single"/>
        </w:rPr>
        <w:t xml:space="preserve">, aportaciones para futuros aumentos de capital o aumentos de capital que reciban en efectivo, </w:t>
      </w:r>
      <w:r w:rsidRPr="00EA7F3F">
        <w:rPr>
          <w:rFonts w:ascii="Arial" w:hAnsi="Arial" w:cs="Arial"/>
          <w:b/>
          <w:color w:val="000000" w:themeColor="text1"/>
          <w:sz w:val="24"/>
          <w:szCs w:val="24"/>
          <w:u w:val="single"/>
        </w:rPr>
        <w:t>en moneda</w:t>
      </w:r>
      <w:r w:rsidRPr="00EA7F3F">
        <w:rPr>
          <w:rFonts w:ascii="Arial" w:hAnsi="Arial" w:cs="Arial"/>
          <w:color w:val="000000" w:themeColor="text1"/>
          <w:sz w:val="24"/>
          <w:szCs w:val="24"/>
          <w:u w:val="single"/>
        </w:rPr>
        <w:t xml:space="preserve"> nacional o </w:t>
      </w:r>
      <w:r w:rsidRPr="00EA7F3F">
        <w:rPr>
          <w:rFonts w:ascii="Arial" w:hAnsi="Arial" w:cs="Arial"/>
          <w:b/>
          <w:color w:val="000000" w:themeColor="text1"/>
          <w:sz w:val="24"/>
          <w:szCs w:val="24"/>
          <w:u w:val="single"/>
        </w:rPr>
        <w:t>extranjera</w:t>
      </w:r>
      <w:r w:rsidRPr="00EA7F3F">
        <w:rPr>
          <w:rFonts w:ascii="Arial" w:hAnsi="Arial" w:cs="Arial"/>
          <w:color w:val="000000" w:themeColor="text1"/>
          <w:sz w:val="24"/>
          <w:szCs w:val="24"/>
          <w:u w:val="single"/>
        </w:rPr>
        <w:t xml:space="preserve">, </w:t>
      </w:r>
      <w:r w:rsidRPr="00EA7F3F">
        <w:rPr>
          <w:rFonts w:ascii="Arial" w:hAnsi="Arial" w:cs="Arial"/>
          <w:b/>
          <w:color w:val="000000" w:themeColor="text1"/>
          <w:sz w:val="24"/>
          <w:szCs w:val="24"/>
          <w:u w:val="single"/>
        </w:rPr>
        <w:t>m</w:t>
      </w:r>
      <w:r w:rsidR="00766D23" w:rsidRPr="00EA7F3F">
        <w:rPr>
          <w:rFonts w:ascii="Arial" w:hAnsi="Arial" w:cs="Arial"/>
          <w:b/>
          <w:color w:val="000000" w:themeColor="text1"/>
          <w:sz w:val="24"/>
          <w:szCs w:val="24"/>
          <w:u w:val="single"/>
        </w:rPr>
        <w:t>ayores a $</w:t>
      </w:r>
      <w:r w:rsidRPr="00EA7F3F">
        <w:rPr>
          <w:rFonts w:ascii="Arial" w:hAnsi="Arial" w:cs="Arial"/>
          <w:b/>
          <w:color w:val="000000" w:themeColor="text1"/>
          <w:sz w:val="24"/>
          <w:szCs w:val="24"/>
          <w:u w:val="single"/>
        </w:rPr>
        <w:t>600,000.00</w:t>
      </w:r>
      <w:r w:rsidRPr="00EA7F3F">
        <w:rPr>
          <w:rFonts w:ascii="Arial" w:hAnsi="Arial" w:cs="Arial"/>
          <w:color w:val="000000" w:themeColor="text1"/>
          <w:sz w:val="24"/>
          <w:szCs w:val="24"/>
          <w:u w:val="single"/>
        </w:rPr>
        <w:t xml:space="preserve">, </w:t>
      </w:r>
      <w:r w:rsidRPr="00EA7F3F">
        <w:rPr>
          <w:rFonts w:ascii="Arial" w:hAnsi="Arial" w:cs="Arial"/>
          <w:b/>
          <w:color w:val="000000" w:themeColor="text1"/>
          <w:sz w:val="24"/>
          <w:szCs w:val="24"/>
          <w:u w:val="single"/>
        </w:rPr>
        <w:t>dentro de los quince días posteriores a aquél en el que se reciban las cantidades correspondientes.</w:t>
      </w:r>
    </w:p>
    <w:p w:rsidR="00377894" w:rsidRPr="00EA7F3F" w:rsidRDefault="00E87BD9" w:rsidP="00EA7F3F">
      <w:pPr>
        <w:pStyle w:val="Texto"/>
        <w:numPr>
          <w:ilvl w:val="0"/>
          <w:numId w:val="2"/>
        </w:numPr>
        <w:spacing w:line="360" w:lineRule="auto"/>
        <w:rPr>
          <w:color w:val="1F3864" w:themeColor="accent5" w:themeShade="80"/>
          <w:sz w:val="24"/>
          <w:szCs w:val="24"/>
        </w:rPr>
      </w:pPr>
      <w:r w:rsidRPr="00EA7F3F">
        <w:rPr>
          <w:b/>
          <w:color w:val="1F3864" w:themeColor="accent5" w:themeShade="80"/>
          <w:sz w:val="24"/>
          <w:szCs w:val="24"/>
        </w:rPr>
        <w:t>Es importante considerar el monto que se enviara a México, ya que si dicha cantidad supera los $</w:t>
      </w:r>
      <w:r w:rsidR="00766D23" w:rsidRPr="00EA7F3F">
        <w:rPr>
          <w:b/>
          <w:color w:val="1F3864" w:themeColor="accent5" w:themeShade="80"/>
          <w:sz w:val="24"/>
          <w:szCs w:val="24"/>
        </w:rPr>
        <w:t>600,000.</w:t>
      </w:r>
      <w:r w:rsidR="00766D23" w:rsidRPr="00EA7F3F">
        <w:rPr>
          <w:color w:val="1F3864" w:themeColor="accent5" w:themeShade="80"/>
          <w:sz w:val="24"/>
          <w:szCs w:val="24"/>
        </w:rPr>
        <w:t>00 de</w:t>
      </w:r>
      <w:r w:rsidRPr="00EA7F3F">
        <w:rPr>
          <w:color w:val="1F3864" w:themeColor="accent5" w:themeShade="80"/>
          <w:sz w:val="24"/>
          <w:szCs w:val="24"/>
        </w:rPr>
        <w:t xml:space="preserve"> acuerdo al </w:t>
      </w:r>
      <w:r w:rsidR="00981E66" w:rsidRPr="00EA7F3F">
        <w:rPr>
          <w:color w:val="1F3864" w:themeColor="accent5" w:themeShade="80"/>
          <w:sz w:val="24"/>
          <w:szCs w:val="24"/>
        </w:rPr>
        <w:t>artículo</w:t>
      </w:r>
      <w:r w:rsidRPr="00EA7F3F">
        <w:rPr>
          <w:color w:val="1F3864" w:themeColor="accent5" w:themeShade="80"/>
          <w:sz w:val="24"/>
          <w:szCs w:val="24"/>
        </w:rPr>
        <w:t xml:space="preserve">, por la diferencia se acumularía </w:t>
      </w:r>
      <w:r w:rsidR="00981E66" w:rsidRPr="00EA7F3F">
        <w:rPr>
          <w:color w:val="1F3864" w:themeColor="accent5" w:themeShade="80"/>
          <w:sz w:val="24"/>
          <w:szCs w:val="24"/>
        </w:rPr>
        <w:t>como ingreso</w:t>
      </w:r>
      <w:r w:rsidR="00766D23" w:rsidRPr="00EA7F3F">
        <w:rPr>
          <w:color w:val="1F3864" w:themeColor="accent5" w:themeShade="80"/>
          <w:sz w:val="24"/>
          <w:szCs w:val="24"/>
        </w:rPr>
        <w:t xml:space="preserve"> hasta la declaración del ejercicio</w:t>
      </w:r>
      <w:r w:rsidR="00981E66" w:rsidRPr="00EA7F3F">
        <w:rPr>
          <w:color w:val="1F3864" w:themeColor="accent5" w:themeShade="80"/>
          <w:sz w:val="24"/>
          <w:szCs w:val="24"/>
        </w:rPr>
        <w:t>.</w:t>
      </w:r>
    </w:p>
    <w:p w:rsidR="00766D23" w:rsidRPr="00EA7F3F" w:rsidRDefault="00766D23" w:rsidP="00EA7F3F">
      <w:pPr>
        <w:pStyle w:val="Texto"/>
        <w:spacing w:line="360" w:lineRule="auto"/>
        <w:ind w:firstLine="0"/>
        <w:rPr>
          <w:color w:val="1F3864" w:themeColor="accent5" w:themeShade="80"/>
          <w:sz w:val="24"/>
          <w:szCs w:val="24"/>
        </w:rPr>
      </w:pPr>
      <w:r w:rsidRPr="00EA7F3F">
        <w:rPr>
          <w:color w:val="1F3864" w:themeColor="accent5" w:themeShade="80"/>
          <w:sz w:val="24"/>
          <w:szCs w:val="24"/>
        </w:rPr>
        <w:t>EXPLICAR QUE SE TIENE UN TRATAMIENTO DE PAGO DE IMPUESTO, MENCIONAR PORQUE NO SE PAGA IMPUESTO PROVISIONAL EL PRIMER AÑO. (*),</w:t>
      </w:r>
    </w:p>
    <w:p w:rsidR="00377894" w:rsidRPr="00EA7F3F" w:rsidRDefault="00377894" w:rsidP="00EA7F3F">
      <w:pPr>
        <w:pStyle w:val="Texto"/>
        <w:numPr>
          <w:ilvl w:val="0"/>
          <w:numId w:val="2"/>
        </w:numPr>
        <w:spacing w:line="360" w:lineRule="auto"/>
        <w:rPr>
          <w:color w:val="1F3864" w:themeColor="accent5" w:themeShade="80"/>
          <w:sz w:val="24"/>
          <w:szCs w:val="24"/>
        </w:rPr>
      </w:pPr>
      <w:r w:rsidRPr="00EA7F3F">
        <w:rPr>
          <w:color w:val="1F3864" w:themeColor="accent5" w:themeShade="80"/>
          <w:sz w:val="24"/>
          <w:szCs w:val="24"/>
        </w:rPr>
        <w:t xml:space="preserve">Por el préstamo otorgado de la empresa de EU a México existirá un </w:t>
      </w:r>
      <w:r w:rsidRPr="00EA7F3F">
        <w:rPr>
          <w:b/>
          <w:color w:val="1F3864" w:themeColor="accent5" w:themeShade="80"/>
          <w:sz w:val="24"/>
          <w:szCs w:val="24"/>
        </w:rPr>
        <w:t>contrato</w:t>
      </w:r>
      <w:r w:rsidRPr="00EA7F3F">
        <w:rPr>
          <w:color w:val="1F3864" w:themeColor="accent5" w:themeShade="80"/>
          <w:sz w:val="24"/>
          <w:szCs w:val="24"/>
        </w:rPr>
        <w:t xml:space="preserve"> en el cual se fijaran los importes y plazos de pago, al igual que</w:t>
      </w:r>
      <w:r w:rsidR="00526215" w:rsidRPr="00EA7F3F">
        <w:rPr>
          <w:color w:val="1F3864" w:themeColor="accent5" w:themeShade="80"/>
          <w:sz w:val="24"/>
          <w:szCs w:val="24"/>
        </w:rPr>
        <w:t xml:space="preserve"> la tasa de </w:t>
      </w:r>
      <w:r w:rsidR="00526215" w:rsidRPr="00EA7F3F">
        <w:rPr>
          <w:b/>
          <w:color w:val="1F3864" w:themeColor="accent5" w:themeShade="80"/>
          <w:sz w:val="24"/>
          <w:szCs w:val="24"/>
        </w:rPr>
        <w:t>INTERES</w:t>
      </w:r>
      <w:r w:rsidRPr="00EA7F3F">
        <w:rPr>
          <w:color w:val="1F3864" w:themeColor="accent5" w:themeShade="80"/>
          <w:sz w:val="24"/>
          <w:szCs w:val="24"/>
        </w:rPr>
        <w:t xml:space="preserve"> que la empresa Mexicana adicional al Capital estaría pagándole a la empresa de EU. Cabe mencionar que estos intereses pagados en su debido momento</w:t>
      </w:r>
      <w:r w:rsidR="00526215" w:rsidRPr="00EA7F3F">
        <w:rPr>
          <w:color w:val="1F3864" w:themeColor="accent5" w:themeShade="80"/>
          <w:sz w:val="24"/>
          <w:szCs w:val="24"/>
        </w:rPr>
        <w:t>,</w:t>
      </w:r>
      <w:r w:rsidRPr="00EA7F3F">
        <w:rPr>
          <w:color w:val="1F3864" w:themeColor="accent5" w:themeShade="80"/>
          <w:sz w:val="24"/>
          <w:szCs w:val="24"/>
        </w:rPr>
        <w:t xml:space="preserve"> forman parte de una </w:t>
      </w:r>
      <w:r w:rsidRPr="00EA7F3F">
        <w:rPr>
          <w:b/>
          <w:color w:val="1F3864" w:themeColor="accent5" w:themeShade="80"/>
          <w:sz w:val="24"/>
          <w:szCs w:val="24"/>
        </w:rPr>
        <w:t>deducción autorizada</w:t>
      </w:r>
      <w:r w:rsidR="00526215" w:rsidRPr="00EA7F3F">
        <w:rPr>
          <w:b/>
          <w:color w:val="1F3864" w:themeColor="accent5" w:themeShade="80"/>
          <w:sz w:val="24"/>
          <w:szCs w:val="24"/>
        </w:rPr>
        <w:t xml:space="preserve"> </w:t>
      </w:r>
      <w:r w:rsidR="00526215" w:rsidRPr="00EA7F3F">
        <w:rPr>
          <w:color w:val="1F3864" w:themeColor="accent5" w:themeShade="80"/>
          <w:sz w:val="24"/>
          <w:szCs w:val="24"/>
        </w:rPr>
        <w:t xml:space="preserve">de acuerdo al </w:t>
      </w:r>
      <w:r w:rsidR="00F401B0" w:rsidRPr="00EA7F3F">
        <w:rPr>
          <w:color w:val="1F3864" w:themeColor="accent5" w:themeShade="80"/>
          <w:sz w:val="24"/>
          <w:szCs w:val="24"/>
        </w:rPr>
        <w:t>artículo 25, fracción VII</w:t>
      </w:r>
      <w:r w:rsidR="00526215" w:rsidRPr="00EA7F3F">
        <w:rPr>
          <w:color w:val="1F3864" w:themeColor="accent5" w:themeShade="80"/>
          <w:sz w:val="24"/>
          <w:szCs w:val="24"/>
        </w:rPr>
        <w:t xml:space="preserve"> y que como beneficio disminuirá </w:t>
      </w:r>
      <w:r w:rsidR="00766D23" w:rsidRPr="00EA7F3F">
        <w:rPr>
          <w:color w:val="1F3864" w:themeColor="accent5" w:themeShade="80"/>
          <w:sz w:val="24"/>
          <w:szCs w:val="24"/>
        </w:rPr>
        <w:t>de los ingresos para</w:t>
      </w:r>
      <w:r w:rsidR="00526215" w:rsidRPr="00EA7F3F">
        <w:rPr>
          <w:color w:val="1F3864" w:themeColor="accent5" w:themeShade="80"/>
          <w:sz w:val="24"/>
          <w:szCs w:val="24"/>
        </w:rPr>
        <w:t xml:space="preserve"> cálculo del </w:t>
      </w:r>
      <w:r w:rsidR="00766D23" w:rsidRPr="00EA7F3F">
        <w:rPr>
          <w:color w:val="1F3864" w:themeColor="accent5" w:themeShade="80"/>
          <w:sz w:val="24"/>
          <w:szCs w:val="24"/>
        </w:rPr>
        <w:t>impuesto en la declaración ejercicio</w:t>
      </w:r>
      <w:r w:rsidR="00526215" w:rsidRPr="00EA7F3F">
        <w:rPr>
          <w:color w:val="1F3864" w:themeColor="accent5" w:themeShade="80"/>
          <w:sz w:val="24"/>
          <w:szCs w:val="24"/>
        </w:rPr>
        <w:t>.</w:t>
      </w:r>
    </w:p>
    <w:p w:rsidR="00526215" w:rsidRPr="00EA7F3F" w:rsidRDefault="00526215" w:rsidP="00EA7F3F">
      <w:pPr>
        <w:pStyle w:val="Prrafodelista"/>
        <w:spacing w:line="360" w:lineRule="auto"/>
        <w:jc w:val="both"/>
        <w:rPr>
          <w:rFonts w:ascii="Arial" w:hAnsi="Arial" w:cs="Arial"/>
          <w:color w:val="1F3864" w:themeColor="accent5" w:themeShade="80"/>
          <w:sz w:val="24"/>
          <w:szCs w:val="24"/>
          <w:lang w:val="es-ES"/>
        </w:rPr>
      </w:pPr>
    </w:p>
    <w:p w:rsidR="00DB451A" w:rsidRPr="00EA7F3F" w:rsidRDefault="00DB451A" w:rsidP="00EA7F3F">
      <w:pPr>
        <w:jc w:val="both"/>
        <w:rPr>
          <w:rFonts w:ascii="Arial" w:hAnsi="Arial" w:cs="Arial"/>
          <w:color w:val="1F3864" w:themeColor="accent5" w:themeShade="80"/>
          <w:sz w:val="24"/>
          <w:szCs w:val="24"/>
        </w:rPr>
      </w:pPr>
      <w:r w:rsidRPr="00EA7F3F">
        <w:rPr>
          <w:rFonts w:ascii="Arial" w:hAnsi="Arial" w:cs="Arial"/>
          <w:color w:val="1F3864" w:themeColor="accent5" w:themeShade="80"/>
          <w:sz w:val="24"/>
          <w:szCs w:val="24"/>
        </w:rPr>
        <w:t xml:space="preserve">5.- </w:t>
      </w:r>
      <w:r w:rsidR="00526215" w:rsidRPr="00EA7F3F">
        <w:rPr>
          <w:rFonts w:ascii="Arial" w:hAnsi="Arial" w:cs="Arial"/>
          <w:color w:val="1F3864" w:themeColor="accent5" w:themeShade="80"/>
          <w:sz w:val="24"/>
          <w:szCs w:val="24"/>
        </w:rPr>
        <w:t xml:space="preserve">La tasa de interés que se manejara para dicho préstamo, se </w:t>
      </w:r>
      <w:r w:rsidR="00DF5165" w:rsidRPr="00EA7F3F">
        <w:rPr>
          <w:rFonts w:ascii="Arial" w:hAnsi="Arial" w:cs="Arial"/>
          <w:color w:val="1F3864" w:themeColor="accent5" w:themeShade="80"/>
          <w:sz w:val="24"/>
          <w:szCs w:val="24"/>
        </w:rPr>
        <w:t>puede aplicar de dos formas por</w:t>
      </w:r>
      <w:r w:rsidRPr="00EA7F3F">
        <w:rPr>
          <w:rFonts w:ascii="Arial" w:hAnsi="Arial" w:cs="Arial"/>
          <w:color w:val="1F3864" w:themeColor="accent5" w:themeShade="80"/>
          <w:sz w:val="24"/>
          <w:szCs w:val="24"/>
        </w:rPr>
        <w:t xml:space="preserve"> medio de un contrato de MUTUO apegándonos </w:t>
      </w:r>
      <w:r w:rsidR="00DF5165" w:rsidRPr="00EA7F3F">
        <w:rPr>
          <w:rFonts w:ascii="Arial" w:hAnsi="Arial" w:cs="Arial"/>
          <w:color w:val="1F3864" w:themeColor="accent5" w:themeShade="80"/>
          <w:sz w:val="24"/>
          <w:szCs w:val="24"/>
        </w:rPr>
        <w:t xml:space="preserve">al CODIGO CIVIL FEDERAL existen dos tipos de interés el CONVENCIONAL y </w:t>
      </w:r>
      <w:r w:rsidRPr="00EA7F3F">
        <w:rPr>
          <w:rFonts w:ascii="Arial" w:hAnsi="Arial" w:cs="Arial"/>
          <w:color w:val="1F3864" w:themeColor="accent5" w:themeShade="80"/>
          <w:sz w:val="24"/>
          <w:szCs w:val="24"/>
        </w:rPr>
        <w:t>LEGAL de acuerdo al Artículo</w:t>
      </w:r>
      <w:r w:rsidRPr="00EA7F3F">
        <w:rPr>
          <w:rFonts w:ascii="Arial" w:eastAsia="Times New Roman" w:hAnsi="Arial" w:cs="Arial"/>
          <w:sz w:val="24"/>
          <w:szCs w:val="24"/>
          <w:lang w:eastAsia="es-MX"/>
        </w:rPr>
        <w:t xml:space="preserve"> 2395. CCF </w:t>
      </w:r>
      <w:r w:rsidRPr="00DB451A">
        <w:rPr>
          <w:rFonts w:ascii="Arial" w:eastAsia="Times New Roman" w:hAnsi="Arial" w:cs="Arial"/>
          <w:sz w:val="24"/>
          <w:szCs w:val="24"/>
          <w:lang w:eastAsia="es-MX"/>
        </w:rPr>
        <w:t>El interés legal es el nueve por ciento anual. El interés convencional es el que fijen los contratantes, y puede ser mayor o menor que el interés legal; pero cuando el interés sea tan desproporcionado que haga fundadamente creer que se ha abusado del apuro pecuniario, de la inexperiencia o de la ignorancia del deudor, a petición de éste el juez, te</w:t>
      </w:r>
      <w:r w:rsidRPr="00EA7F3F">
        <w:rPr>
          <w:rFonts w:ascii="Arial" w:eastAsia="Times New Roman" w:hAnsi="Arial" w:cs="Arial"/>
          <w:sz w:val="24"/>
          <w:szCs w:val="24"/>
          <w:lang w:eastAsia="es-MX"/>
        </w:rPr>
        <w:t xml:space="preserve">niendo en cuenta las especiales </w:t>
      </w:r>
      <w:r w:rsidRPr="00DB451A">
        <w:rPr>
          <w:rFonts w:ascii="Arial" w:eastAsia="Times New Roman" w:hAnsi="Arial" w:cs="Arial"/>
          <w:sz w:val="24"/>
          <w:szCs w:val="24"/>
          <w:lang w:eastAsia="es-MX"/>
        </w:rPr>
        <w:t>circunstancias del caso, podrá reducir equitativamente el interés hasta el tipo legal.</w:t>
      </w:r>
      <w:r w:rsidRPr="00EA7F3F">
        <w:rPr>
          <w:rFonts w:ascii="Arial" w:eastAsia="Times New Roman" w:hAnsi="Arial" w:cs="Arial"/>
          <w:sz w:val="24"/>
          <w:szCs w:val="24"/>
          <w:lang w:eastAsia="es-MX"/>
        </w:rPr>
        <w:t xml:space="preserve"> </w:t>
      </w:r>
      <w:r w:rsidR="00526215" w:rsidRPr="00EA7F3F">
        <w:rPr>
          <w:rFonts w:ascii="Arial" w:hAnsi="Arial" w:cs="Arial"/>
          <w:color w:val="1F3864" w:themeColor="accent5" w:themeShade="80"/>
          <w:sz w:val="24"/>
          <w:szCs w:val="24"/>
        </w:rPr>
        <w:t xml:space="preserve">Se debe considerar que el flujo de efectivo beneficiaria a ambas empresas, ya que el dinero otorgado como </w:t>
      </w:r>
      <w:r w:rsidR="00D0104C" w:rsidRPr="00EA7F3F">
        <w:rPr>
          <w:rFonts w:ascii="Arial" w:hAnsi="Arial" w:cs="Arial"/>
          <w:color w:val="1F3864" w:themeColor="accent5" w:themeShade="80"/>
          <w:sz w:val="24"/>
          <w:szCs w:val="24"/>
        </w:rPr>
        <w:t>préstamo</w:t>
      </w:r>
      <w:r w:rsidR="00526215" w:rsidRPr="00EA7F3F">
        <w:rPr>
          <w:rFonts w:ascii="Arial" w:hAnsi="Arial" w:cs="Arial"/>
          <w:color w:val="1F3864" w:themeColor="accent5" w:themeShade="80"/>
          <w:sz w:val="24"/>
          <w:szCs w:val="24"/>
        </w:rPr>
        <w:t xml:space="preserve"> caería nuevamente en las cuentas bancarias de la empresa en EU en el momento</w:t>
      </w:r>
      <w:r w:rsidRPr="00EA7F3F">
        <w:rPr>
          <w:rFonts w:ascii="Arial" w:hAnsi="Arial" w:cs="Arial"/>
          <w:color w:val="1F3864" w:themeColor="accent5" w:themeShade="80"/>
          <w:sz w:val="24"/>
          <w:szCs w:val="24"/>
        </w:rPr>
        <w:t xml:space="preserve"> que la empresa en México pague el interés ganado y realice abonos a capital o en su caso liquide el préstamo</w:t>
      </w:r>
      <w:r w:rsidR="00526215" w:rsidRPr="00EA7F3F">
        <w:rPr>
          <w:rFonts w:ascii="Arial" w:hAnsi="Arial" w:cs="Arial"/>
          <w:color w:val="1F3864" w:themeColor="accent5" w:themeShade="80"/>
          <w:sz w:val="24"/>
          <w:szCs w:val="24"/>
        </w:rPr>
        <w:t>.</w:t>
      </w:r>
    </w:p>
    <w:p w:rsidR="00000000" w:rsidRPr="00EA7F3F" w:rsidRDefault="00526215" w:rsidP="00EA7F3F">
      <w:pPr>
        <w:numPr>
          <w:ilvl w:val="0"/>
          <w:numId w:val="6"/>
        </w:numPr>
        <w:jc w:val="both"/>
        <w:rPr>
          <w:rFonts w:ascii="Arial" w:hAnsi="Arial" w:cs="Arial"/>
          <w:color w:val="1F3864" w:themeColor="accent5" w:themeShade="80"/>
          <w:sz w:val="24"/>
          <w:szCs w:val="24"/>
        </w:rPr>
      </w:pPr>
      <w:r w:rsidRPr="00EA7F3F">
        <w:rPr>
          <w:rFonts w:ascii="Arial" w:hAnsi="Arial" w:cs="Arial"/>
          <w:color w:val="1F3864" w:themeColor="accent5" w:themeShade="80"/>
          <w:sz w:val="24"/>
          <w:szCs w:val="24"/>
        </w:rPr>
        <w:br/>
      </w:r>
      <w:r w:rsidR="00D0104C" w:rsidRPr="00EA7F3F">
        <w:rPr>
          <w:rFonts w:ascii="Arial" w:hAnsi="Arial" w:cs="Arial"/>
          <w:color w:val="1F3864" w:themeColor="accent5" w:themeShade="80"/>
          <w:sz w:val="24"/>
          <w:szCs w:val="24"/>
        </w:rPr>
        <w:t xml:space="preserve">El </w:t>
      </w:r>
      <w:r w:rsidRPr="00EA7F3F">
        <w:rPr>
          <w:rFonts w:ascii="Arial" w:hAnsi="Arial" w:cs="Arial"/>
          <w:color w:val="1F3864" w:themeColor="accent5" w:themeShade="80"/>
          <w:sz w:val="24"/>
          <w:szCs w:val="24"/>
        </w:rPr>
        <w:t>interés que recibe</w:t>
      </w:r>
      <w:r w:rsidR="00D0104C" w:rsidRPr="00EA7F3F">
        <w:rPr>
          <w:rFonts w:ascii="Arial" w:hAnsi="Arial" w:cs="Arial"/>
          <w:color w:val="1F3864" w:themeColor="accent5" w:themeShade="80"/>
          <w:sz w:val="24"/>
          <w:szCs w:val="24"/>
        </w:rPr>
        <w:t xml:space="preserve"> la empresa extranj</w:t>
      </w:r>
      <w:r w:rsidR="005F0960" w:rsidRPr="00EA7F3F">
        <w:rPr>
          <w:rFonts w:ascii="Arial" w:hAnsi="Arial" w:cs="Arial"/>
          <w:color w:val="1F3864" w:themeColor="accent5" w:themeShade="80"/>
          <w:sz w:val="24"/>
          <w:szCs w:val="24"/>
        </w:rPr>
        <w:t>era, es considerado un ingreso de acuerdo a l</w:t>
      </w:r>
      <w:r w:rsidR="004B3C08" w:rsidRPr="00EA7F3F">
        <w:rPr>
          <w:rFonts w:ascii="Arial" w:hAnsi="Arial" w:cs="Arial"/>
          <w:color w:val="1F3864" w:themeColor="accent5" w:themeShade="80"/>
          <w:sz w:val="24"/>
          <w:szCs w:val="24"/>
        </w:rPr>
        <w:t>as leyes fiscales</w:t>
      </w:r>
      <w:r w:rsidR="005F0960" w:rsidRPr="00EA7F3F">
        <w:rPr>
          <w:rFonts w:ascii="Arial" w:hAnsi="Arial" w:cs="Arial"/>
          <w:color w:val="1F3864" w:themeColor="accent5" w:themeShade="80"/>
          <w:sz w:val="24"/>
          <w:szCs w:val="24"/>
        </w:rPr>
        <w:t xml:space="preserve"> estadounidenses a las </w:t>
      </w:r>
      <w:r w:rsidR="004B3C08" w:rsidRPr="00EA7F3F">
        <w:rPr>
          <w:rFonts w:ascii="Arial" w:hAnsi="Arial" w:cs="Arial"/>
          <w:color w:val="1F3864" w:themeColor="accent5" w:themeShade="80"/>
          <w:sz w:val="24"/>
          <w:szCs w:val="24"/>
        </w:rPr>
        <w:t>reglas específicas para establecer de acuerdo con su origen, diversos tipos de renta, dentro de las cuales se encuentran</w:t>
      </w:r>
    </w:p>
    <w:p w:rsidR="00000000" w:rsidRPr="00EA7F3F" w:rsidRDefault="004B3C08" w:rsidP="00EA7F3F">
      <w:pPr>
        <w:numPr>
          <w:ilvl w:val="1"/>
          <w:numId w:val="6"/>
        </w:numPr>
        <w:jc w:val="both"/>
        <w:rPr>
          <w:rFonts w:ascii="Arial" w:hAnsi="Arial" w:cs="Arial"/>
          <w:color w:val="1F3864" w:themeColor="accent5" w:themeShade="80"/>
          <w:sz w:val="24"/>
          <w:szCs w:val="24"/>
        </w:rPr>
      </w:pPr>
      <w:r w:rsidRPr="00EA7F3F">
        <w:rPr>
          <w:rFonts w:ascii="Arial" w:hAnsi="Arial" w:cs="Arial"/>
          <w:color w:val="1F3864" w:themeColor="accent5" w:themeShade="80"/>
          <w:sz w:val="24"/>
          <w:szCs w:val="24"/>
        </w:rPr>
        <w:t xml:space="preserve"> </w:t>
      </w:r>
      <w:r w:rsidRPr="00EA7F3F">
        <w:rPr>
          <w:rFonts w:ascii="Arial" w:hAnsi="Arial" w:cs="Arial"/>
          <w:color w:val="1F3864" w:themeColor="accent5" w:themeShade="80"/>
          <w:sz w:val="24"/>
          <w:szCs w:val="24"/>
        </w:rPr>
        <w:t>Las ganancias y las regalías,</w:t>
      </w:r>
    </w:p>
    <w:p w:rsidR="00000000" w:rsidRPr="00EA7F3F" w:rsidRDefault="004B3C08" w:rsidP="00EA7F3F">
      <w:pPr>
        <w:numPr>
          <w:ilvl w:val="1"/>
          <w:numId w:val="6"/>
        </w:numPr>
        <w:jc w:val="both"/>
        <w:rPr>
          <w:rFonts w:ascii="Arial" w:hAnsi="Arial" w:cs="Arial"/>
          <w:color w:val="1F3864" w:themeColor="accent5" w:themeShade="80"/>
          <w:sz w:val="24"/>
          <w:szCs w:val="24"/>
        </w:rPr>
      </w:pPr>
      <w:r w:rsidRPr="00EA7F3F">
        <w:rPr>
          <w:rFonts w:ascii="Arial" w:hAnsi="Arial" w:cs="Arial"/>
          <w:color w:val="1F3864" w:themeColor="accent5" w:themeShade="80"/>
          <w:sz w:val="24"/>
          <w:szCs w:val="24"/>
        </w:rPr>
        <w:t xml:space="preserve"> Los dividendos, </w:t>
      </w:r>
    </w:p>
    <w:p w:rsidR="00000000" w:rsidRPr="00EA7F3F" w:rsidRDefault="004B3C08" w:rsidP="00EA7F3F">
      <w:pPr>
        <w:numPr>
          <w:ilvl w:val="1"/>
          <w:numId w:val="6"/>
        </w:numPr>
        <w:jc w:val="both"/>
        <w:rPr>
          <w:rFonts w:ascii="Arial" w:hAnsi="Arial" w:cs="Arial"/>
          <w:color w:val="1F3864" w:themeColor="accent5" w:themeShade="80"/>
          <w:sz w:val="24"/>
          <w:szCs w:val="24"/>
        </w:rPr>
      </w:pPr>
      <w:r w:rsidRPr="00EA7F3F">
        <w:rPr>
          <w:rFonts w:ascii="Arial" w:hAnsi="Arial" w:cs="Arial"/>
          <w:color w:val="1F3864" w:themeColor="accent5" w:themeShade="80"/>
          <w:sz w:val="24"/>
          <w:szCs w:val="24"/>
        </w:rPr>
        <w:t xml:space="preserve"> Los ingresos por intereses, </w:t>
      </w:r>
    </w:p>
    <w:p w:rsidR="005F0960" w:rsidRPr="00EA7F3F" w:rsidRDefault="004B3C08" w:rsidP="00EA7F3F">
      <w:pPr>
        <w:numPr>
          <w:ilvl w:val="1"/>
          <w:numId w:val="6"/>
        </w:numPr>
        <w:jc w:val="both"/>
        <w:rPr>
          <w:rFonts w:ascii="Arial" w:hAnsi="Arial" w:cs="Arial"/>
          <w:color w:val="1F3864" w:themeColor="accent5" w:themeShade="80"/>
          <w:sz w:val="24"/>
          <w:szCs w:val="24"/>
        </w:rPr>
      </w:pPr>
      <w:r w:rsidRPr="00EA7F3F">
        <w:rPr>
          <w:rFonts w:ascii="Arial" w:hAnsi="Arial" w:cs="Arial"/>
          <w:color w:val="1F3864" w:themeColor="accent5" w:themeShade="80"/>
          <w:sz w:val="24"/>
          <w:szCs w:val="24"/>
        </w:rPr>
        <w:t xml:space="preserve"> Las compensaciones y </w:t>
      </w:r>
      <w:r w:rsidR="005F0960" w:rsidRPr="00EA7F3F">
        <w:rPr>
          <w:rFonts w:ascii="Arial" w:hAnsi="Arial" w:cs="Arial"/>
          <w:color w:val="1F3864" w:themeColor="accent5" w:themeShade="80"/>
          <w:sz w:val="24"/>
          <w:szCs w:val="24"/>
        </w:rPr>
        <w:t>Los ingresos por venta de propiedades.</w:t>
      </w:r>
    </w:p>
    <w:p w:rsidR="00D0104C" w:rsidRPr="00EA7F3F" w:rsidRDefault="005F0960" w:rsidP="00EA7F3F">
      <w:pPr>
        <w:jc w:val="both"/>
        <w:rPr>
          <w:rFonts w:ascii="Arial" w:hAnsi="Arial" w:cs="Arial"/>
          <w:color w:val="1F3864" w:themeColor="accent5" w:themeShade="80"/>
          <w:sz w:val="24"/>
          <w:szCs w:val="24"/>
        </w:rPr>
      </w:pPr>
      <w:r w:rsidRPr="00EA7F3F">
        <w:rPr>
          <w:rFonts w:ascii="Arial" w:hAnsi="Arial" w:cs="Arial"/>
          <w:color w:val="1F3864" w:themeColor="accent5" w:themeShade="80"/>
          <w:sz w:val="24"/>
          <w:szCs w:val="24"/>
        </w:rPr>
        <w:t>Por</w:t>
      </w:r>
      <w:r w:rsidR="00D0104C" w:rsidRPr="00EA7F3F">
        <w:rPr>
          <w:rFonts w:ascii="Arial" w:hAnsi="Arial" w:cs="Arial"/>
          <w:color w:val="1F3864" w:themeColor="accent5" w:themeShade="80"/>
          <w:sz w:val="24"/>
          <w:szCs w:val="24"/>
        </w:rPr>
        <w:t xml:space="preserve"> el cual tendría que pagar una parte de impuesto. IMPORTANTE, la tasa de impuesto que deberá pagar es.</w:t>
      </w:r>
    </w:p>
    <w:p w:rsidR="00D0104C" w:rsidRPr="00EA7F3F" w:rsidRDefault="00D0104C" w:rsidP="00EA7F3F">
      <w:pPr>
        <w:pStyle w:val="Texto"/>
        <w:spacing w:line="360" w:lineRule="auto"/>
        <w:rPr>
          <w:color w:val="1F3864" w:themeColor="accent5" w:themeShade="80"/>
          <w:sz w:val="24"/>
          <w:szCs w:val="24"/>
        </w:rPr>
      </w:pPr>
      <w:r w:rsidRPr="00EA7F3F">
        <w:rPr>
          <w:color w:val="1F3864" w:themeColor="accent5" w:themeShade="80"/>
          <w:sz w:val="24"/>
          <w:szCs w:val="24"/>
        </w:rPr>
        <w:t>Con esto estamos refiriéndonos a que</w:t>
      </w:r>
      <w:r w:rsidR="00946440" w:rsidRPr="00EA7F3F">
        <w:rPr>
          <w:color w:val="1F3864" w:themeColor="accent5" w:themeShade="80"/>
          <w:sz w:val="24"/>
          <w:szCs w:val="24"/>
        </w:rPr>
        <w:t xml:space="preserve"> NO</w:t>
      </w:r>
      <w:r w:rsidRPr="00EA7F3F">
        <w:rPr>
          <w:color w:val="1F3864" w:themeColor="accent5" w:themeShade="80"/>
          <w:sz w:val="24"/>
          <w:szCs w:val="24"/>
        </w:rPr>
        <w:t xml:space="preserve"> existiría doble tributación, ya que sería el único impuesto que pagaría en Estados Unidos y recalcando que no hay </w:t>
      </w:r>
      <w:r w:rsidR="00766D23" w:rsidRPr="00EA7F3F">
        <w:rPr>
          <w:color w:val="1F3864" w:themeColor="accent5" w:themeShade="80"/>
          <w:sz w:val="24"/>
          <w:szCs w:val="24"/>
        </w:rPr>
        <w:t>obligaciones adicionales</w:t>
      </w:r>
      <w:r w:rsidR="00946440" w:rsidRPr="00EA7F3F">
        <w:rPr>
          <w:color w:val="1F3864" w:themeColor="accent5" w:themeShade="80"/>
          <w:sz w:val="24"/>
          <w:szCs w:val="24"/>
        </w:rPr>
        <w:t xml:space="preserve"> por las cuales se deba </w:t>
      </w:r>
      <w:r w:rsidRPr="00EA7F3F">
        <w:rPr>
          <w:color w:val="1F3864" w:themeColor="accent5" w:themeShade="80"/>
          <w:sz w:val="24"/>
          <w:szCs w:val="24"/>
        </w:rPr>
        <w:t xml:space="preserve">reportar información al no formar parte de lo citado en el </w:t>
      </w:r>
      <w:r w:rsidR="0080371C" w:rsidRPr="00EA7F3F">
        <w:rPr>
          <w:color w:val="1F3864" w:themeColor="accent5" w:themeShade="80"/>
          <w:sz w:val="24"/>
          <w:szCs w:val="24"/>
        </w:rPr>
        <w:t>artículo</w:t>
      </w:r>
      <w:r w:rsidRPr="00EA7F3F">
        <w:rPr>
          <w:color w:val="1F3864" w:themeColor="accent5" w:themeShade="80"/>
          <w:sz w:val="24"/>
          <w:szCs w:val="24"/>
        </w:rPr>
        <w:t xml:space="preserve"> 179 LIS (Partes Relacionadas).</w:t>
      </w:r>
    </w:p>
    <w:p w:rsidR="005C6FDA" w:rsidRPr="00EA7F3F" w:rsidRDefault="005C6FDA" w:rsidP="00EA7F3F">
      <w:pPr>
        <w:pStyle w:val="Texto"/>
        <w:spacing w:line="360" w:lineRule="auto"/>
        <w:ind w:left="720" w:firstLine="0"/>
        <w:rPr>
          <w:b/>
          <w:color w:val="1F3864" w:themeColor="accent5" w:themeShade="80"/>
          <w:sz w:val="24"/>
          <w:szCs w:val="24"/>
        </w:rPr>
      </w:pPr>
      <w:r w:rsidRPr="00EA7F3F">
        <w:rPr>
          <w:b/>
          <w:color w:val="1F3864" w:themeColor="accent5" w:themeShade="80"/>
          <w:sz w:val="24"/>
          <w:szCs w:val="24"/>
        </w:rPr>
        <w:t>TRATAMIENTO DE IVA</w:t>
      </w:r>
    </w:p>
    <w:p w:rsidR="005C6FDA" w:rsidRPr="00EA7F3F" w:rsidRDefault="005C6FDA" w:rsidP="00EA7F3F">
      <w:pPr>
        <w:pStyle w:val="Texto"/>
        <w:spacing w:line="360" w:lineRule="auto"/>
        <w:ind w:left="720" w:firstLine="0"/>
        <w:rPr>
          <w:color w:val="1F3864" w:themeColor="accent5" w:themeShade="80"/>
          <w:sz w:val="24"/>
          <w:szCs w:val="24"/>
        </w:rPr>
      </w:pPr>
      <w:r w:rsidRPr="00EA7F3F">
        <w:rPr>
          <w:color w:val="1F3864" w:themeColor="accent5" w:themeShade="80"/>
          <w:sz w:val="24"/>
          <w:szCs w:val="24"/>
        </w:rPr>
        <w:t xml:space="preserve">De acuerdo al artículo 2-A fracción I inciso a y fracción </w:t>
      </w:r>
      <w:r w:rsidR="004E76D1" w:rsidRPr="00EA7F3F">
        <w:rPr>
          <w:color w:val="1F3864" w:themeColor="accent5" w:themeShade="80"/>
          <w:sz w:val="24"/>
          <w:szCs w:val="24"/>
        </w:rPr>
        <w:t xml:space="preserve">IV de la LEY DEL IMPUESTO AL VALOR AGREGADO (LIVA, EN ADELANTE) </w:t>
      </w:r>
      <w:r w:rsidRPr="00EA7F3F">
        <w:rPr>
          <w:color w:val="1F3864" w:themeColor="accent5" w:themeShade="80"/>
          <w:sz w:val="24"/>
          <w:szCs w:val="24"/>
        </w:rPr>
        <w:t>se aplica lo siguiente:</w:t>
      </w:r>
    </w:p>
    <w:p w:rsidR="00945646" w:rsidRPr="00EA7F3F" w:rsidRDefault="00945646" w:rsidP="00EA7F3F">
      <w:pPr>
        <w:pStyle w:val="Texto"/>
        <w:spacing w:line="360" w:lineRule="auto"/>
        <w:ind w:left="720" w:firstLine="0"/>
        <w:rPr>
          <w:color w:val="000000" w:themeColor="text1"/>
          <w:sz w:val="24"/>
          <w:szCs w:val="24"/>
          <w:u w:val="single"/>
        </w:rPr>
      </w:pPr>
      <w:r w:rsidRPr="00EA7F3F">
        <w:rPr>
          <w:color w:val="000000" w:themeColor="text1"/>
          <w:sz w:val="24"/>
          <w:szCs w:val="24"/>
          <w:u w:val="single"/>
        </w:rPr>
        <w:t>El impuesto se calculará aplicando la tasa del 0% a los valores a que se refiere esta Ley, cuando se realicen los actos o actividades siguientes:</w:t>
      </w:r>
    </w:p>
    <w:p w:rsidR="00945646" w:rsidRPr="00EA7F3F" w:rsidRDefault="00945646" w:rsidP="00EA7F3F">
      <w:pPr>
        <w:pStyle w:val="Texto"/>
        <w:spacing w:line="360" w:lineRule="auto"/>
        <w:ind w:left="720"/>
        <w:rPr>
          <w:color w:val="000000" w:themeColor="text1"/>
          <w:sz w:val="24"/>
          <w:szCs w:val="24"/>
          <w:u w:val="single"/>
        </w:rPr>
      </w:pPr>
      <w:r w:rsidRPr="00EA7F3F">
        <w:rPr>
          <w:color w:val="000000" w:themeColor="text1"/>
          <w:sz w:val="24"/>
          <w:szCs w:val="24"/>
          <w:u w:val="single"/>
        </w:rPr>
        <w:t xml:space="preserve">I.- </w:t>
      </w:r>
      <w:r w:rsidRPr="00EA7F3F">
        <w:rPr>
          <w:color w:val="000000" w:themeColor="text1"/>
          <w:sz w:val="24"/>
          <w:szCs w:val="24"/>
          <w:u w:val="single"/>
        </w:rPr>
        <w:tab/>
        <w:t>La enajenación de:</w:t>
      </w:r>
    </w:p>
    <w:p w:rsidR="00945646" w:rsidRPr="00EA7F3F" w:rsidRDefault="00945646" w:rsidP="00EA7F3F">
      <w:pPr>
        <w:pStyle w:val="Texto"/>
        <w:spacing w:line="360" w:lineRule="auto"/>
        <w:ind w:left="720"/>
        <w:rPr>
          <w:color w:val="000000" w:themeColor="text1"/>
          <w:sz w:val="24"/>
          <w:szCs w:val="24"/>
          <w:u w:val="single"/>
        </w:rPr>
      </w:pPr>
      <w:r w:rsidRPr="00EA7F3F">
        <w:rPr>
          <w:color w:val="000000" w:themeColor="text1"/>
          <w:sz w:val="24"/>
          <w:szCs w:val="24"/>
          <w:u w:val="single"/>
        </w:rPr>
        <w:t>a)</w:t>
      </w:r>
      <w:r w:rsidRPr="00EA7F3F">
        <w:rPr>
          <w:color w:val="000000" w:themeColor="text1"/>
          <w:sz w:val="24"/>
          <w:szCs w:val="24"/>
          <w:u w:val="single"/>
        </w:rPr>
        <w:tab/>
        <w:t>Animales y vegetales que no estén industrializados, salvo el hule, perros, gatos y pequeñas especies, utilizadas como mascotas en el hogar.</w:t>
      </w:r>
      <w:r w:rsidRPr="00EA7F3F">
        <w:rPr>
          <w:color w:val="000000" w:themeColor="text1"/>
          <w:sz w:val="24"/>
          <w:szCs w:val="24"/>
          <w:u w:val="single"/>
        </w:rPr>
        <w:br/>
      </w:r>
    </w:p>
    <w:p w:rsidR="00945646" w:rsidRPr="00EA7F3F" w:rsidRDefault="00945646" w:rsidP="00EA7F3F">
      <w:pPr>
        <w:pStyle w:val="Texto"/>
        <w:spacing w:line="360" w:lineRule="auto"/>
        <w:ind w:left="720" w:firstLine="0"/>
        <w:rPr>
          <w:color w:val="000000" w:themeColor="text1"/>
          <w:sz w:val="24"/>
          <w:szCs w:val="24"/>
          <w:u w:val="single"/>
        </w:rPr>
      </w:pPr>
      <w:r w:rsidRPr="00EA7F3F">
        <w:rPr>
          <w:color w:val="000000" w:themeColor="text1"/>
          <w:sz w:val="24"/>
          <w:szCs w:val="24"/>
          <w:u w:val="single"/>
        </w:rPr>
        <w:t xml:space="preserve"> IV.- La exportación de bienes o servicios, en los términos del artículo 29 de esta Ley.</w:t>
      </w:r>
    </w:p>
    <w:p w:rsidR="004E76D1" w:rsidRPr="00EA7F3F" w:rsidRDefault="004E76D1" w:rsidP="00EA7F3F">
      <w:pPr>
        <w:pStyle w:val="Texto"/>
        <w:spacing w:line="360" w:lineRule="auto"/>
        <w:ind w:left="720" w:firstLine="0"/>
        <w:rPr>
          <w:color w:val="000000" w:themeColor="text1"/>
          <w:sz w:val="24"/>
          <w:szCs w:val="24"/>
        </w:rPr>
      </w:pPr>
    </w:p>
    <w:p w:rsidR="005C6FDA" w:rsidRPr="00EA7F3F" w:rsidRDefault="004E76D1" w:rsidP="00EA7F3F">
      <w:pPr>
        <w:pStyle w:val="Texto"/>
        <w:spacing w:line="360" w:lineRule="auto"/>
        <w:ind w:left="720" w:firstLine="0"/>
        <w:rPr>
          <w:color w:val="1F3864" w:themeColor="accent5" w:themeShade="80"/>
          <w:sz w:val="24"/>
          <w:szCs w:val="24"/>
        </w:rPr>
      </w:pPr>
      <w:r w:rsidRPr="00EA7F3F">
        <w:rPr>
          <w:color w:val="1F3864" w:themeColor="accent5" w:themeShade="80"/>
          <w:sz w:val="24"/>
          <w:szCs w:val="24"/>
        </w:rPr>
        <w:t>Bajo estos términos es importante considerar para la empresa situada en México al momento de exportar a Japón o bien dentro del mismo país trasladará el IVA a tasa del 0% en cada una de sus facturas</w:t>
      </w:r>
      <w:r w:rsidR="000A3107" w:rsidRPr="00EA7F3F">
        <w:rPr>
          <w:color w:val="1F3864" w:themeColor="accent5" w:themeShade="80"/>
          <w:sz w:val="24"/>
          <w:szCs w:val="24"/>
        </w:rPr>
        <w:t xml:space="preserve"> emitidas y no a la tasa preferencial del 16% que impone el fisco</w:t>
      </w:r>
      <w:r w:rsidR="00F401B0" w:rsidRPr="00EA7F3F">
        <w:rPr>
          <w:color w:val="1F3864" w:themeColor="accent5" w:themeShade="80"/>
          <w:sz w:val="24"/>
          <w:szCs w:val="24"/>
        </w:rPr>
        <w:t>.</w:t>
      </w:r>
    </w:p>
    <w:p w:rsidR="004E76D1" w:rsidRPr="00EA7F3F" w:rsidRDefault="004E76D1" w:rsidP="00EA7F3F">
      <w:pPr>
        <w:pStyle w:val="Texto"/>
        <w:spacing w:line="360" w:lineRule="auto"/>
        <w:ind w:left="720" w:firstLine="0"/>
        <w:rPr>
          <w:b/>
          <w:color w:val="1F3864" w:themeColor="accent5" w:themeShade="80"/>
          <w:sz w:val="24"/>
          <w:szCs w:val="24"/>
        </w:rPr>
      </w:pPr>
      <w:r w:rsidRPr="00EA7F3F">
        <w:rPr>
          <w:b/>
          <w:color w:val="1F3864" w:themeColor="accent5" w:themeShade="80"/>
          <w:sz w:val="24"/>
          <w:szCs w:val="24"/>
        </w:rPr>
        <w:t>¿Cuál es el beneficio</w:t>
      </w:r>
      <w:r w:rsidR="00BD79CD" w:rsidRPr="00EA7F3F">
        <w:rPr>
          <w:b/>
          <w:color w:val="1F3864" w:themeColor="accent5" w:themeShade="80"/>
          <w:sz w:val="24"/>
          <w:szCs w:val="24"/>
        </w:rPr>
        <w:t>?</w:t>
      </w:r>
    </w:p>
    <w:p w:rsidR="004E76D1" w:rsidRPr="00EA7F3F" w:rsidRDefault="000A3107" w:rsidP="00EA7F3F">
      <w:pPr>
        <w:pStyle w:val="Texto"/>
        <w:spacing w:line="360" w:lineRule="auto"/>
        <w:ind w:left="720" w:firstLine="0"/>
        <w:rPr>
          <w:color w:val="1F3864" w:themeColor="accent5" w:themeShade="80"/>
          <w:sz w:val="24"/>
          <w:szCs w:val="24"/>
        </w:rPr>
      </w:pPr>
      <w:r w:rsidRPr="00EA7F3F">
        <w:rPr>
          <w:color w:val="1F3864" w:themeColor="accent5" w:themeShade="80"/>
          <w:sz w:val="24"/>
          <w:szCs w:val="24"/>
        </w:rPr>
        <w:t>EL Impuesto al Valor Agregado, es un impuesto llamado directo, ya que la diferencia sobre lo efectivamente cobrado</w:t>
      </w:r>
      <w:r w:rsidR="00F401B0" w:rsidRPr="00EA7F3F">
        <w:rPr>
          <w:color w:val="1F3864" w:themeColor="accent5" w:themeShade="80"/>
          <w:sz w:val="24"/>
          <w:szCs w:val="24"/>
        </w:rPr>
        <w:t xml:space="preserve"> y lo efectivamente pagado genera si bien un Impuesto</w:t>
      </w:r>
      <w:r w:rsidR="00381B1D" w:rsidRPr="00EA7F3F">
        <w:rPr>
          <w:color w:val="1F3864" w:themeColor="accent5" w:themeShade="80"/>
          <w:sz w:val="24"/>
          <w:szCs w:val="24"/>
        </w:rPr>
        <w:t xml:space="preserve"> a cargo o un impuesto a favor, no se presenta declaración del ejercicio.</w:t>
      </w:r>
    </w:p>
    <w:p w:rsidR="00F401B0" w:rsidRPr="00EA7F3F" w:rsidRDefault="00F401B0" w:rsidP="00EA7F3F">
      <w:pPr>
        <w:pStyle w:val="Texto"/>
        <w:spacing w:line="360" w:lineRule="auto"/>
        <w:ind w:left="720" w:firstLine="0"/>
        <w:rPr>
          <w:color w:val="1F3864" w:themeColor="accent5" w:themeShade="80"/>
          <w:sz w:val="24"/>
          <w:szCs w:val="24"/>
        </w:rPr>
      </w:pPr>
      <w:r w:rsidRPr="00EA7F3F">
        <w:rPr>
          <w:color w:val="1F3864" w:themeColor="accent5" w:themeShade="80"/>
          <w:sz w:val="24"/>
          <w:szCs w:val="24"/>
        </w:rPr>
        <w:t>En este caso el impuesto (IVA) generado por la empresa siempre será a favor, ya que se cobra a</w:t>
      </w:r>
      <w:r w:rsidR="001B6009" w:rsidRPr="00EA7F3F">
        <w:rPr>
          <w:color w:val="1F3864" w:themeColor="accent5" w:themeShade="80"/>
          <w:sz w:val="24"/>
          <w:szCs w:val="24"/>
        </w:rPr>
        <w:t xml:space="preserve"> tasa 0% y todo lo pagado a 16% (todos los gastos relacionados con el giro de la empresa incluyendo los aduanales, etc.).</w:t>
      </w:r>
    </w:p>
    <w:p w:rsidR="00381B1D" w:rsidRPr="00EA7F3F" w:rsidRDefault="00381B1D" w:rsidP="00EA7F3F">
      <w:pPr>
        <w:pStyle w:val="Texto"/>
        <w:spacing w:line="360" w:lineRule="auto"/>
        <w:ind w:left="720" w:firstLine="0"/>
        <w:rPr>
          <w:b/>
          <w:color w:val="1F3864" w:themeColor="accent5" w:themeShade="80"/>
          <w:sz w:val="24"/>
          <w:szCs w:val="24"/>
        </w:rPr>
      </w:pPr>
    </w:p>
    <w:p w:rsidR="00F401B0" w:rsidRPr="00EA7F3F" w:rsidRDefault="00F401B0" w:rsidP="00EA7F3F">
      <w:pPr>
        <w:pStyle w:val="Texto"/>
        <w:spacing w:line="360" w:lineRule="auto"/>
        <w:ind w:left="720" w:firstLine="0"/>
        <w:rPr>
          <w:b/>
          <w:color w:val="1F3864" w:themeColor="accent5" w:themeShade="80"/>
          <w:sz w:val="24"/>
          <w:szCs w:val="24"/>
        </w:rPr>
      </w:pPr>
      <w:r w:rsidRPr="00EA7F3F">
        <w:rPr>
          <w:b/>
          <w:color w:val="1F3864" w:themeColor="accent5" w:themeShade="80"/>
          <w:sz w:val="24"/>
          <w:szCs w:val="24"/>
        </w:rPr>
        <w:t>¿Cómo aplica dentro del pago de impuestos</w:t>
      </w:r>
      <w:r w:rsidR="00BD79CD" w:rsidRPr="00EA7F3F">
        <w:rPr>
          <w:b/>
          <w:color w:val="1F3864" w:themeColor="accent5" w:themeShade="80"/>
          <w:sz w:val="24"/>
          <w:szCs w:val="24"/>
        </w:rPr>
        <w:t>?</w:t>
      </w:r>
    </w:p>
    <w:p w:rsidR="00F401B0" w:rsidRPr="00EA7F3F" w:rsidRDefault="00F401B0" w:rsidP="00EA7F3F">
      <w:pPr>
        <w:pStyle w:val="Texto"/>
        <w:spacing w:line="360" w:lineRule="auto"/>
        <w:ind w:left="720" w:firstLine="0"/>
        <w:rPr>
          <w:color w:val="1F3864" w:themeColor="accent5" w:themeShade="80"/>
          <w:sz w:val="24"/>
          <w:szCs w:val="24"/>
        </w:rPr>
      </w:pPr>
      <w:r w:rsidRPr="00EA7F3F">
        <w:rPr>
          <w:color w:val="1F3864" w:themeColor="accent5" w:themeShade="80"/>
          <w:sz w:val="24"/>
          <w:szCs w:val="24"/>
        </w:rPr>
        <w:t>Dentro de LIVA Se manejarían los supuestos de compensación contra otros impuestos o acumulación a los gastos para efecto de deducción autorizada, fundamentado en los artículos 5, 5-a y 5-b de la misma Ley.</w:t>
      </w:r>
    </w:p>
    <w:p w:rsidR="00381B1D" w:rsidRPr="00EA7F3F" w:rsidRDefault="00381B1D" w:rsidP="00EA7F3F">
      <w:pPr>
        <w:pStyle w:val="Texto"/>
        <w:spacing w:line="360" w:lineRule="auto"/>
        <w:ind w:left="720" w:firstLine="0"/>
        <w:rPr>
          <w:b/>
          <w:color w:val="1F3864" w:themeColor="accent5" w:themeShade="80"/>
          <w:sz w:val="24"/>
          <w:szCs w:val="24"/>
        </w:rPr>
      </w:pPr>
      <w:r w:rsidRPr="00EA7F3F">
        <w:rPr>
          <w:b/>
          <w:color w:val="1F3864" w:themeColor="accent5" w:themeShade="80"/>
          <w:sz w:val="24"/>
          <w:szCs w:val="24"/>
        </w:rPr>
        <w:t>Términos Fiscales</w:t>
      </w:r>
      <w:r w:rsidR="001B6009" w:rsidRPr="00EA7F3F">
        <w:rPr>
          <w:b/>
          <w:color w:val="1F3864" w:themeColor="accent5" w:themeShade="80"/>
          <w:sz w:val="24"/>
          <w:szCs w:val="24"/>
        </w:rPr>
        <w:t>:</w:t>
      </w:r>
    </w:p>
    <w:p w:rsidR="00381B1D" w:rsidRPr="00EA7F3F" w:rsidRDefault="00381B1D" w:rsidP="00EA7F3F">
      <w:pPr>
        <w:pStyle w:val="Texto"/>
        <w:numPr>
          <w:ilvl w:val="0"/>
          <w:numId w:val="3"/>
        </w:numPr>
        <w:spacing w:line="360" w:lineRule="auto"/>
        <w:rPr>
          <w:color w:val="1F3864" w:themeColor="accent5" w:themeShade="80"/>
          <w:sz w:val="24"/>
          <w:szCs w:val="24"/>
        </w:rPr>
      </w:pPr>
      <w:proofErr w:type="spellStart"/>
      <w:r w:rsidRPr="00EA7F3F">
        <w:rPr>
          <w:color w:val="1F3864" w:themeColor="accent5" w:themeShade="80"/>
          <w:sz w:val="24"/>
          <w:szCs w:val="24"/>
        </w:rPr>
        <w:t>Acreditamiento</w:t>
      </w:r>
      <w:proofErr w:type="spellEnd"/>
      <w:r w:rsidRPr="00EA7F3F">
        <w:rPr>
          <w:color w:val="1F3864" w:themeColor="accent5" w:themeShade="80"/>
          <w:sz w:val="24"/>
          <w:szCs w:val="24"/>
        </w:rPr>
        <w:t xml:space="preserve"> (IVA contra IVA), en este caso no aplica.*</w:t>
      </w:r>
    </w:p>
    <w:p w:rsidR="00381B1D" w:rsidRPr="00EA7F3F" w:rsidRDefault="00381B1D" w:rsidP="00EA7F3F">
      <w:pPr>
        <w:pStyle w:val="Texto"/>
        <w:numPr>
          <w:ilvl w:val="0"/>
          <w:numId w:val="3"/>
        </w:numPr>
        <w:spacing w:line="360" w:lineRule="auto"/>
        <w:rPr>
          <w:color w:val="1F3864" w:themeColor="accent5" w:themeShade="80"/>
          <w:sz w:val="24"/>
          <w:szCs w:val="24"/>
        </w:rPr>
      </w:pPr>
      <w:r w:rsidRPr="00EA7F3F">
        <w:rPr>
          <w:color w:val="1F3864" w:themeColor="accent5" w:themeShade="80"/>
          <w:sz w:val="24"/>
          <w:szCs w:val="24"/>
        </w:rPr>
        <w:t>Compensación (IVA contra otros impuestos).*</w:t>
      </w:r>
    </w:p>
    <w:tbl>
      <w:tblPr>
        <w:tblpPr w:leftFromText="141" w:rightFromText="141" w:vertAnchor="text" w:horzAnchor="margin" w:tblpXSpec="center" w:tblpY="107"/>
        <w:tblW w:w="8254" w:type="dxa"/>
        <w:tblCellMar>
          <w:left w:w="70" w:type="dxa"/>
          <w:right w:w="70" w:type="dxa"/>
        </w:tblCellMar>
        <w:tblLook w:val="04A0" w:firstRow="1" w:lastRow="0" w:firstColumn="1" w:lastColumn="0" w:noHBand="0" w:noVBand="1"/>
      </w:tblPr>
      <w:tblGrid>
        <w:gridCol w:w="3457"/>
        <w:gridCol w:w="875"/>
        <w:gridCol w:w="875"/>
        <w:gridCol w:w="605"/>
        <w:gridCol w:w="1221"/>
        <w:gridCol w:w="1221"/>
      </w:tblGrid>
      <w:tr w:rsidR="001B6009" w:rsidRPr="00EA7F3F" w:rsidTr="00381B1D">
        <w:trPr>
          <w:trHeight w:val="363"/>
        </w:trPr>
        <w:tc>
          <w:tcPr>
            <w:tcW w:w="3457" w:type="dxa"/>
            <w:tcBorders>
              <w:top w:val="nil"/>
              <w:left w:val="nil"/>
              <w:bottom w:val="nil"/>
              <w:right w:val="nil"/>
            </w:tcBorders>
            <w:shd w:val="clear" w:color="000000" w:fill="0070C0"/>
            <w:noWrap/>
            <w:vAlign w:val="bottom"/>
            <w:hideMark/>
          </w:tcPr>
          <w:p w:rsidR="00381B1D" w:rsidRPr="00EA7F3F" w:rsidRDefault="00381B1D" w:rsidP="00EA7F3F">
            <w:pPr>
              <w:spacing w:after="0" w:line="360" w:lineRule="auto"/>
              <w:jc w:val="both"/>
              <w:rPr>
                <w:rFonts w:ascii="Arial" w:eastAsia="Times New Roman" w:hAnsi="Arial" w:cs="Arial"/>
                <w:color w:val="1F3864" w:themeColor="accent5" w:themeShade="80"/>
                <w:sz w:val="24"/>
                <w:szCs w:val="24"/>
                <w:lang w:eastAsia="es-MX"/>
              </w:rPr>
            </w:pPr>
            <w:r w:rsidRPr="00EA7F3F">
              <w:rPr>
                <w:rFonts w:ascii="Arial" w:eastAsia="Times New Roman" w:hAnsi="Arial" w:cs="Arial"/>
                <w:color w:val="1F3864" w:themeColor="accent5" w:themeShade="80"/>
                <w:sz w:val="24"/>
                <w:szCs w:val="24"/>
                <w:lang w:eastAsia="es-MX"/>
              </w:rPr>
              <w:t>COMPENSACIÓN UNIVERSAL DE SALDOS A FAVOR</w:t>
            </w:r>
          </w:p>
        </w:tc>
        <w:tc>
          <w:tcPr>
            <w:tcW w:w="875" w:type="dxa"/>
            <w:tcBorders>
              <w:top w:val="nil"/>
              <w:left w:val="nil"/>
              <w:bottom w:val="nil"/>
              <w:right w:val="nil"/>
            </w:tcBorders>
            <w:shd w:val="clear" w:color="auto" w:fill="auto"/>
            <w:noWrap/>
            <w:vAlign w:val="bottom"/>
            <w:hideMark/>
          </w:tcPr>
          <w:p w:rsidR="00381B1D" w:rsidRPr="00EA7F3F" w:rsidRDefault="00381B1D" w:rsidP="00EA7F3F">
            <w:pPr>
              <w:spacing w:after="0" w:line="360" w:lineRule="auto"/>
              <w:jc w:val="both"/>
              <w:rPr>
                <w:rFonts w:ascii="Arial" w:eastAsia="Times New Roman" w:hAnsi="Arial" w:cs="Arial"/>
                <w:color w:val="1F3864" w:themeColor="accent5" w:themeShade="80"/>
                <w:sz w:val="24"/>
                <w:szCs w:val="24"/>
                <w:lang w:eastAsia="es-MX"/>
              </w:rPr>
            </w:pPr>
          </w:p>
        </w:tc>
        <w:tc>
          <w:tcPr>
            <w:tcW w:w="875" w:type="dxa"/>
            <w:tcBorders>
              <w:top w:val="nil"/>
              <w:left w:val="nil"/>
              <w:bottom w:val="nil"/>
              <w:right w:val="nil"/>
            </w:tcBorders>
            <w:shd w:val="clear" w:color="auto" w:fill="auto"/>
            <w:noWrap/>
            <w:vAlign w:val="bottom"/>
            <w:hideMark/>
          </w:tcPr>
          <w:p w:rsidR="00381B1D" w:rsidRPr="00EA7F3F" w:rsidRDefault="00381B1D" w:rsidP="00EA7F3F">
            <w:pPr>
              <w:spacing w:after="0" w:line="360" w:lineRule="auto"/>
              <w:jc w:val="both"/>
              <w:rPr>
                <w:rFonts w:ascii="Arial" w:eastAsia="Times New Roman" w:hAnsi="Arial" w:cs="Arial"/>
                <w:color w:val="1F3864" w:themeColor="accent5" w:themeShade="80"/>
                <w:sz w:val="24"/>
                <w:szCs w:val="24"/>
                <w:lang w:eastAsia="es-MX"/>
              </w:rPr>
            </w:pPr>
          </w:p>
        </w:tc>
        <w:tc>
          <w:tcPr>
            <w:tcW w:w="1006" w:type="dxa"/>
            <w:tcBorders>
              <w:top w:val="nil"/>
              <w:left w:val="nil"/>
              <w:bottom w:val="nil"/>
              <w:right w:val="nil"/>
            </w:tcBorders>
          </w:tcPr>
          <w:p w:rsidR="00381B1D" w:rsidRPr="00EA7F3F" w:rsidRDefault="00381B1D" w:rsidP="00EA7F3F">
            <w:pPr>
              <w:spacing w:after="0" w:line="360" w:lineRule="auto"/>
              <w:jc w:val="both"/>
              <w:rPr>
                <w:rFonts w:ascii="Arial" w:eastAsia="Times New Roman" w:hAnsi="Arial" w:cs="Arial"/>
                <w:color w:val="1F3864" w:themeColor="accent5" w:themeShade="80"/>
                <w:sz w:val="24"/>
                <w:szCs w:val="24"/>
                <w:lang w:eastAsia="es-MX"/>
              </w:rPr>
            </w:pPr>
          </w:p>
        </w:tc>
        <w:tc>
          <w:tcPr>
            <w:tcW w:w="1006" w:type="dxa"/>
            <w:tcBorders>
              <w:top w:val="nil"/>
              <w:left w:val="nil"/>
              <w:bottom w:val="nil"/>
              <w:right w:val="nil"/>
            </w:tcBorders>
            <w:shd w:val="clear" w:color="auto" w:fill="auto"/>
            <w:noWrap/>
            <w:vAlign w:val="bottom"/>
            <w:hideMark/>
          </w:tcPr>
          <w:p w:rsidR="00381B1D" w:rsidRPr="00EA7F3F" w:rsidRDefault="00381B1D" w:rsidP="00EA7F3F">
            <w:pPr>
              <w:spacing w:after="0" w:line="360" w:lineRule="auto"/>
              <w:jc w:val="both"/>
              <w:rPr>
                <w:rFonts w:ascii="Arial" w:eastAsia="Times New Roman" w:hAnsi="Arial" w:cs="Arial"/>
                <w:color w:val="1F3864" w:themeColor="accent5" w:themeShade="80"/>
                <w:sz w:val="24"/>
                <w:szCs w:val="24"/>
                <w:lang w:eastAsia="es-MX"/>
              </w:rPr>
            </w:pPr>
          </w:p>
        </w:tc>
        <w:tc>
          <w:tcPr>
            <w:tcW w:w="1035" w:type="dxa"/>
            <w:tcBorders>
              <w:top w:val="nil"/>
              <w:left w:val="nil"/>
              <w:bottom w:val="nil"/>
              <w:right w:val="nil"/>
            </w:tcBorders>
            <w:shd w:val="clear" w:color="auto" w:fill="auto"/>
            <w:noWrap/>
            <w:vAlign w:val="bottom"/>
            <w:hideMark/>
          </w:tcPr>
          <w:p w:rsidR="00381B1D" w:rsidRPr="00EA7F3F" w:rsidRDefault="00381B1D" w:rsidP="00EA7F3F">
            <w:pPr>
              <w:spacing w:after="0" w:line="360" w:lineRule="auto"/>
              <w:jc w:val="both"/>
              <w:rPr>
                <w:rFonts w:ascii="Arial" w:eastAsia="Times New Roman" w:hAnsi="Arial" w:cs="Arial"/>
                <w:color w:val="1F3864" w:themeColor="accent5" w:themeShade="80"/>
                <w:sz w:val="24"/>
                <w:szCs w:val="24"/>
                <w:lang w:eastAsia="es-MX"/>
              </w:rPr>
            </w:pPr>
          </w:p>
        </w:tc>
      </w:tr>
      <w:tr w:rsidR="001B6009" w:rsidRPr="00EA7F3F" w:rsidTr="00381B1D">
        <w:trPr>
          <w:trHeight w:val="363"/>
        </w:trPr>
        <w:tc>
          <w:tcPr>
            <w:tcW w:w="3457" w:type="dxa"/>
            <w:tcBorders>
              <w:top w:val="nil"/>
              <w:left w:val="nil"/>
              <w:bottom w:val="nil"/>
              <w:right w:val="nil"/>
            </w:tcBorders>
            <w:shd w:val="clear" w:color="000000" w:fill="0070C0"/>
            <w:noWrap/>
            <w:vAlign w:val="bottom"/>
            <w:hideMark/>
          </w:tcPr>
          <w:p w:rsidR="00381B1D" w:rsidRPr="00EA7F3F" w:rsidRDefault="00381B1D" w:rsidP="00EA7F3F">
            <w:pPr>
              <w:spacing w:after="0" w:line="360" w:lineRule="auto"/>
              <w:jc w:val="both"/>
              <w:rPr>
                <w:rFonts w:ascii="Arial" w:eastAsia="Times New Roman" w:hAnsi="Arial" w:cs="Arial"/>
                <w:color w:val="1F3864" w:themeColor="accent5" w:themeShade="80"/>
                <w:sz w:val="24"/>
                <w:szCs w:val="24"/>
                <w:lang w:eastAsia="es-MX"/>
              </w:rPr>
            </w:pPr>
            <w:r w:rsidRPr="00EA7F3F">
              <w:rPr>
                <w:rFonts w:ascii="Arial" w:eastAsia="Times New Roman" w:hAnsi="Arial" w:cs="Arial"/>
                <w:color w:val="1F3864" w:themeColor="accent5" w:themeShade="80"/>
                <w:sz w:val="24"/>
                <w:szCs w:val="24"/>
                <w:lang w:eastAsia="es-MX"/>
              </w:rPr>
              <w:t>​Impuestos contra los que se puede compensar: </w:t>
            </w:r>
          </w:p>
        </w:tc>
        <w:tc>
          <w:tcPr>
            <w:tcW w:w="875" w:type="dxa"/>
            <w:tcBorders>
              <w:top w:val="nil"/>
              <w:left w:val="nil"/>
              <w:bottom w:val="nil"/>
              <w:right w:val="nil"/>
            </w:tcBorders>
            <w:shd w:val="clear" w:color="auto" w:fill="auto"/>
            <w:noWrap/>
            <w:vAlign w:val="bottom"/>
            <w:hideMark/>
          </w:tcPr>
          <w:p w:rsidR="00381B1D" w:rsidRPr="00EA7F3F" w:rsidRDefault="00381B1D" w:rsidP="00EA7F3F">
            <w:pPr>
              <w:spacing w:after="0" w:line="360" w:lineRule="auto"/>
              <w:jc w:val="both"/>
              <w:rPr>
                <w:rFonts w:ascii="Arial" w:eastAsia="Times New Roman" w:hAnsi="Arial" w:cs="Arial"/>
                <w:color w:val="1F3864" w:themeColor="accent5" w:themeShade="80"/>
                <w:sz w:val="24"/>
                <w:szCs w:val="24"/>
                <w:lang w:eastAsia="es-MX"/>
              </w:rPr>
            </w:pPr>
          </w:p>
        </w:tc>
        <w:tc>
          <w:tcPr>
            <w:tcW w:w="875" w:type="dxa"/>
            <w:tcBorders>
              <w:top w:val="nil"/>
              <w:left w:val="nil"/>
              <w:bottom w:val="nil"/>
              <w:right w:val="nil"/>
            </w:tcBorders>
            <w:shd w:val="clear" w:color="auto" w:fill="auto"/>
            <w:noWrap/>
            <w:vAlign w:val="bottom"/>
            <w:hideMark/>
          </w:tcPr>
          <w:p w:rsidR="00381B1D" w:rsidRPr="00EA7F3F" w:rsidRDefault="00381B1D" w:rsidP="00EA7F3F">
            <w:pPr>
              <w:spacing w:after="0" w:line="360" w:lineRule="auto"/>
              <w:jc w:val="both"/>
              <w:rPr>
                <w:rFonts w:ascii="Arial" w:eastAsia="Times New Roman" w:hAnsi="Arial" w:cs="Arial"/>
                <w:color w:val="1F3864" w:themeColor="accent5" w:themeShade="80"/>
                <w:sz w:val="24"/>
                <w:szCs w:val="24"/>
                <w:lang w:eastAsia="es-MX"/>
              </w:rPr>
            </w:pPr>
          </w:p>
        </w:tc>
        <w:tc>
          <w:tcPr>
            <w:tcW w:w="1006" w:type="dxa"/>
            <w:tcBorders>
              <w:top w:val="nil"/>
              <w:left w:val="nil"/>
              <w:bottom w:val="nil"/>
              <w:right w:val="nil"/>
            </w:tcBorders>
          </w:tcPr>
          <w:p w:rsidR="00381B1D" w:rsidRPr="00EA7F3F" w:rsidRDefault="00381B1D" w:rsidP="00EA7F3F">
            <w:pPr>
              <w:spacing w:after="0" w:line="360" w:lineRule="auto"/>
              <w:jc w:val="both"/>
              <w:rPr>
                <w:rFonts w:ascii="Arial" w:eastAsia="Times New Roman" w:hAnsi="Arial" w:cs="Arial"/>
                <w:color w:val="1F3864" w:themeColor="accent5" w:themeShade="80"/>
                <w:sz w:val="24"/>
                <w:szCs w:val="24"/>
                <w:lang w:eastAsia="es-MX"/>
              </w:rPr>
            </w:pPr>
          </w:p>
        </w:tc>
        <w:tc>
          <w:tcPr>
            <w:tcW w:w="1006" w:type="dxa"/>
            <w:tcBorders>
              <w:top w:val="nil"/>
              <w:left w:val="nil"/>
              <w:bottom w:val="nil"/>
              <w:right w:val="nil"/>
            </w:tcBorders>
            <w:shd w:val="clear" w:color="auto" w:fill="auto"/>
            <w:noWrap/>
            <w:vAlign w:val="bottom"/>
            <w:hideMark/>
          </w:tcPr>
          <w:p w:rsidR="00381B1D" w:rsidRPr="00EA7F3F" w:rsidRDefault="00381B1D" w:rsidP="00EA7F3F">
            <w:pPr>
              <w:spacing w:after="0" w:line="360" w:lineRule="auto"/>
              <w:jc w:val="both"/>
              <w:rPr>
                <w:rFonts w:ascii="Arial" w:eastAsia="Times New Roman" w:hAnsi="Arial" w:cs="Arial"/>
                <w:color w:val="1F3864" w:themeColor="accent5" w:themeShade="80"/>
                <w:sz w:val="24"/>
                <w:szCs w:val="24"/>
                <w:lang w:eastAsia="es-MX"/>
              </w:rPr>
            </w:pPr>
          </w:p>
        </w:tc>
        <w:tc>
          <w:tcPr>
            <w:tcW w:w="1035" w:type="dxa"/>
            <w:tcBorders>
              <w:top w:val="nil"/>
              <w:left w:val="nil"/>
              <w:bottom w:val="nil"/>
              <w:right w:val="nil"/>
            </w:tcBorders>
            <w:shd w:val="clear" w:color="auto" w:fill="auto"/>
            <w:noWrap/>
            <w:vAlign w:val="bottom"/>
            <w:hideMark/>
          </w:tcPr>
          <w:p w:rsidR="00381B1D" w:rsidRPr="00EA7F3F" w:rsidRDefault="00381B1D" w:rsidP="00EA7F3F">
            <w:pPr>
              <w:spacing w:after="0" w:line="360" w:lineRule="auto"/>
              <w:jc w:val="both"/>
              <w:rPr>
                <w:rFonts w:ascii="Arial" w:eastAsia="Times New Roman" w:hAnsi="Arial" w:cs="Arial"/>
                <w:color w:val="1F3864" w:themeColor="accent5" w:themeShade="80"/>
                <w:sz w:val="24"/>
                <w:szCs w:val="24"/>
                <w:lang w:eastAsia="es-MX"/>
              </w:rPr>
            </w:pPr>
          </w:p>
        </w:tc>
      </w:tr>
      <w:tr w:rsidR="001B6009" w:rsidRPr="00EA7F3F" w:rsidTr="00381B1D">
        <w:trPr>
          <w:trHeight w:val="363"/>
        </w:trPr>
        <w:tc>
          <w:tcPr>
            <w:tcW w:w="3457" w:type="dxa"/>
            <w:tcBorders>
              <w:top w:val="nil"/>
              <w:left w:val="nil"/>
              <w:bottom w:val="nil"/>
              <w:right w:val="nil"/>
            </w:tcBorders>
            <w:shd w:val="clear" w:color="000000" w:fill="9BC2E6"/>
            <w:noWrap/>
            <w:vAlign w:val="bottom"/>
            <w:hideMark/>
          </w:tcPr>
          <w:p w:rsidR="00381B1D" w:rsidRPr="00EA7F3F" w:rsidRDefault="00381B1D" w:rsidP="00EA7F3F">
            <w:pPr>
              <w:spacing w:after="0" w:line="360" w:lineRule="auto"/>
              <w:jc w:val="both"/>
              <w:rPr>
                <w:rFonts w:ascii="Arial" w:eastAsia="Times New Roman" w:hAnsi="Arial" w:cs="Arial"/>
                <w:color w:val="1F3864" w:themeColor="accent5" w:themeShade="80"/>
                <w:sz w:val="24"/>
                <w:szCs w:val="24"/>
                <w:lang w:eastAsia="es-MX"/>
              </w:rPr>
            </w:pPr>
            <w:r w:rsidRPr="00EA7F3F">
              <w:rPr>
                <w:rFonts w:ascii="Arial" w:eastAsia="Times New Roman" w:hAnsi="Arial" w:cs="Arial"/>
                <w:color w:val="1F3864" w:themeColor="accent5" w:themeShade="80"/>
                <w:sz w:val="24"/>
                <w:szCs w:val="24"/>
                <w:lang w:eastAsia="es-MX"/>
              </w:rPr>
              <w:t>​Saldo a favor en:</w:t>
            </w:r>
          </w:p>
        </w:tc>
        <w:tc>
          <w:tcPr>
            <w:tcW w:w="875" w:type="dxa"/>
            <w:tcBorders>
              <w:top w:val="nil"/>
              <w:left w:val="nil"/>
              <w:bottom w:val="nil"/>
              <w:right w:val="nil"/>
            </w:tcBorders>
            <w:shd w:val="clear" w:color="000000" w:fill="9BC2E6"/>
            <w:noWrap/>
            <w:vAlign w:val="bottom"/>
            <w:hideMark/>
          </w:tcPr>
          <w:p w:rsidR="00381B1D" w:rsidRPr="00EA7F3F" w:rsidRDefault="00381B1D" w:rsidP="00EA7F3F">
            <w:pPr>
              <w:spacing w:after="0" w:line="360" w:lineRule="auto"/>
              <w:jc w:val="both"/>
              <w:rPr>
                <w:rFonts w:ascii="Arial" w:eastAsia="Times New Roman" w:hAnsi="Arial" w:cs="Arial"/>
                <w:color w:val="1F3864" w:themeColor="accent5" w:themeShade="80"/>
                <w:sz w:val="24"/>
                <w:szCs w:val="24"/>
                <w:lang w:eastAsia="es-MX"/>
              </w:rPr>
            </w:pPr>
            <w:r w:rsidRPr="00EA7F3F">
              <w:rPr>
                <w:rFonts w:ascii="Arial" w:eastAsia="Times New Roman" w:hAnsi="Arial" w:cs="Arial"/>
                <w:color w:val="1F3864" w:themeColor="accent5" w:themeShade="80"/>
                <w:sz w:val="24"/>
                <w:szCs w:val="24"/>
                <w:lang w:eastAsia="es-MX"/>
              </w:rPr>
              <w:t>ISR propio​</w:t>
            </w:r>
          </w:p>
        </w:tc>
        <w:tc>
          <w:tcPr>
            <w:tcW w:w="875" w:type="dxa"/>
            <w:tcBorders>
              <w:top w:val="nil"/>
              <w:left w:val="nil"/>
              <w:bottom w:val="nil"/>
              <w:right w:val="nil"/>
            </w:tcBorders>
            <w:shd w:val="clear" w:color="000000" w:fill="9BC2E6"/>
            <w:noWrap/>
            <w:vAlign w:val="bottom"/>
            <w:hideMark/>
          </w:tcPr>
          <w:p w:rsidR="00381B1D" w:rsidRPr="00EA7F3F" w:rsidRDefault="00381B1D" w:rsidP="00EA7F3F">
            <w:pPr>
              <w:spacing w:after="0" w:line="360" w:lineRule="auto"/>
              <w:jc w:val="both"/>
              <w:rPr>
                <w:rFonts w:ascii="Arial" w:eastAsia="Times New Roman" w:hAnsi="Arial" w:cs="Arial"/>
                <w:color w:val="1F3864" w:themeColor="accent5" w:themeShade="80"/>
                <w:sz w:val="24"/>
                <w:szCs w:val="24"/>
                <w:lang w:eastAsia="es-MX"/>
              </w:rPr>
            </w:pPr>
            <w:r w:rsidRPr="00EA7F3F">
              <w:rPr>
                <w:rFonts w:ascii="Arial" w:eastAsia="Times New Roman" w:hAnsi="Arial" w:cs="Arial"/>
                <w:color w:val="1F3864" w:themeColor="accent5" w:themeShade="80"/>
                <w:sz w:val="24"/>
                <w:szCs w:val="24"/>
                <w:lang w:eastAsia="es-MX"/>
              </w:rPr>
              <w:t>IVA propio​</w:t>
            </w:r>
          </w:p>
        </w:tc>
        <w:tc>
          <w:tcPr>
            <w:tcW w:w="1006" w:type="dxa"/>
            <w:tcBorders>
              <w:top w:val="nil"/>
              <w:left w:val="nil"/>
              <w:bottom w:val="nil"/>
              <w:right w:val="nil"/>
            </w:tcBorders>
            <w:shd w:val="clear" w:color="000000" w:fill="9BC2E6"/>
          </w:tcPr>
          <w:p w:rsidR="00381B1D" w:rsidRPr="00EA7F3F" w:rsidRDefault="00381B1D" w:rsidP="00EA7F3F">
            <w:pPr>
              <w:spacing w:after="0" w:line="360" w:lineRule="auto"/>
              <w:jc w:val="both"/>
              <w:rPr>
                <w:rFonts w:ascii="Arial" w:eastAsia="Times New Roman" w:hAnsi="Arial" w:cs="Arial"/>
                <w:color w:val="1F3864" w:themeColor="accent5" w:themeShade="80"/>
                <w:sz w:val="24"/>
                <w:szCs w:val="24"/>
                <w:lang w:eastAsia="es-MX"/>
              </w:rPr>
            </w:pPr>
          </w:p>
        </w:tc>
        <w:tc>
          <w:tcPr>
            <w:tcW w:w="1006" w:type="dxa"/>
            <w:tcBorders>
              <w:top w:val="nil"/>
              <w:left w:val="nil"/>
              <w:bottom w:val="nil"/>
              <w:right w:val="nil"/>
            </w:tcBorders>
            <w:shd w:val="clear" w:color="000000" w:fill="9BC2E6"/>
            <w:noWrap/>
            <w:vAlign w:val="bottom"/>
            <w:hideMark/>
          </w:tcPr>
          <w:p w:rsidR="00381B1D" w:rsidRPr="00EA7F3F" w:rsidRDefault="00381B1D" w:rsidP="00EA7F3F">
            <w:pPr>
              <w:spacing w:after="0" w:line="360" w:lineRule="auto"/>
              <w:jc w:val="both"/>
              <w:rPr>
                <w:rFonts w:ascii="Arial" w:eastAsia="Times New Roman" w:hAnsi="Arial" w:cs="Arial"/>
                <w:color w:val="1F3864" w:themeColor="accent5" w:themeShade="80"/>
                <w:sz w:val="24"/>
                <w:szCs w:val="24"/>
                <w:lang w:eastAsia="es-MX"/>
              </w:rPr>
            </w:pPr>
            <w:r w:rsidRPr="00EA7F3F">
              <w:rPr>
                <w:rFonts w:ascii="Arial" w:eastAsia="Times New Roman" w:hAnsi="Arial" w:cs="Arial"/>
                <w:color w:val="1F3864" w:themeColor="accent5" w:themeShade="80"/>
                <w:sz w:val="24"/>
                <w:szCs w:val="24"/>
                <w:lang w:eastAsia="es-MX"/>
              </w:rPr>
              <w:t>Retención ISR​</w:t>
            </w:r>
          </w:p>
        </w:tc>
        <w:tc>
          <w:tcPr>
            <w:tcW w:w="1035" w:type="dxa"/>
            <w:tcBorders>
              <w:top w:val="nil"/>
              <w:left w:val="nil"/>
              <w:bottom w:val="nil"/>
              <w:right w:val="nil"/>
            </w:tcBorders>
            <w:shd w:val="clear" w:color="000000" w:fill="9BC2E6"/>
            <w:noWrap/>
            <w:vAlign w:val="bottom"/>
            <w:hideMark/>
          </w:tcPr>
          <w:p w:rsidR="00381B1D" w:rsidRPr="00EA7F3F" w:rsidRDefault="00381B1D" w:rsidP="00EA7F3F">
            <w:pPr>
              <w:spacing w:after="0" w:line="360" w:lineRule="auto"/>
              <w:jc w:val="both"/>
              <w:rPr>
                <w:rFonts w:ascii="Arial" w:eastAsia="Times New Roman" w:hAnsi="Arial" w:cs="Arial"/>
                <w:color w:val="1F3864" w:themeColor="accent5" w:themeShade="80"/>
                <w:sz w:val="24"/>
                <w:szCs w:val="24"/>
                <w:lang w:eastAsia="es-MX"/>
              </w:rPr>
            </w:pPr>
            <w:r w:rsidRPr="00EA7F3F">
              <w:rPr>
                <w:rFonts w:ascii="Arial" w:eastAsia="Times New Roman" w:hAnsi="Arial" w:cs="Arial"/>
                <w:color w:val="1F3864" w:themeColor="accent5" w:themeShade="80"/>
                <w:sz w:val="24"/>
                <w:szCs w:val="24"/>
                <w:lang w:eastAsia="es-MX"/>
              </w:rPr>
              <w:t>Retención IVA​</w:t>
            </w:r>
          </w:p>
        </w:tc>
      </w:tr>
      <w:tr w:rsidR="001B6009" w:rsidRPr="00EA7F3F" w:rsidTr="00381B1D">
        <w:trPr>
          <w:trHeight w:val="363"/>
        </w:trPr>
        <w:tc>
          <w:tcPr>
            <w:tcW w:w="3457" w:type="dxa"/>
            <w:tcBorders>
              <w:top w:val="nil"/>
              <w:left w:val="nil"/>
              <w:bottom w:val="nil"/>
              <w:right w:val="nil"/>
            </w:tcBorders>
            <w:shd w:val="clear" w:color="auto" w:fill="auto"/>
            <w:noWrap/>
            <w:vAlign w:val="bottom"/>
            <w:hideMark/>
          </w:tcPr>
          <w:p w:rsidR="00381B1D" w:rsidRPr="00EA7F3F" w:rsidRDefault="00381B1D" w:rsidP="00EA7F3F">
            <w:pPr>
              <w:spacing w:after="0" w:line="360" w:lineRule="auto"/>
              <w:jc w:val="both"/>
              <w:rPr>
                <w:rFonts w:ascii="Arial" w:eastAsia="Times New Roman" w:hAnsi="Arial" w:cs="Arial"/>
                <w:b/>
                <w:bCs/>
                <w:color w:val="1F3864" w:themeColor="accent5" w:themeShade="80"/>
                <w:sz w:val="24"/>
                <w:szCs w:val="24"/>
                <w:lang w:eastAsia="es-MX"/>
              </w:rPr>
            </w:pPr>
            <w:r w:rsidRPr="00EA7F3F">
              <w:rPr>
                <w:rFonts w:ascii="Arial" w:eastAsia="Times New Roman" w:hAnsi="Arial" w:cs="Arial"/>
                <w:b/>
                <w:bCs/>
                <w:color w:val="1F3864" w:themeColor="accent5" w:themeShade="80"/>
                <w:sz w:val="24"/>
                <w:szCs w:val="24"/>
                <w:lang w:eastAsia="es-MX"/>
              </w:rPr>
              <w:t>ISR propio (1)​</w:t>
            </w:r>
          </w:p>
        </w:tc>
        <w:tc>
          <w:tcPr>
            <w:tcW w:w="875" w:type="dxa"/>
            <w:tcBorders>
              <w:top w:val="nil"/>
              <w:left w:val="nil"/>
              <w:bottom w:val="nil"/>
              <w:right w:val="nil"/>
            </w:tcBorders>
            <w:shd w:val="clear" w:color="auto" w:fill="auto"/>
            <w:noWrap/>
            <w:vAlign w:val="bottom"/>
            <w:hideMark/>
          </w:tcPr>
          <w:p w:rsidR="00381B1D" w:rsidRPr="00EA7F3F" w:rsidRDefault="00381B1D" w:rsidP="00EA7F3F">
            <w:pPr>
              <w:spacing w:after="0" w:line="360" w:lineRule="auto"/>
              <w:jc w:val="both"/>
              <w:rPr>
                <w:rFonts w:ascii="Arial" w:eastAsia="Times New Roman" w:hAnsi="Arial" w:cs="Arial"/>
                <w:b/>
                <w:bCs/>
                <w:color w:val="1F3864" w:themeColor="accent5" w:themeShade="80"/>
                <w:sz w:val="24"/>
                <w:szCs w:val="24"/>
                <w:lang w:eastAsia="es-MX"/>
              </w:rPr>
            </w:pPr>
            <w:r w:rsidRPr="00EA7F3F">
              <w:rPr>
                <w:rFonts w:ascii="Arial" w:eastAsia="Times New Roman" w:hAnsi="Arial" w:cs="Arial"/>
                <w:b/>
                <w:bCs/>
                <w:color w:val="1F3864" w:themeColor="accent5" w:themeShade="80"/>
                <w:sz w:val="24"/>
                <w:szCs w:val="24"/>
                <w:lang w:eastAsia="es-MX"/>
              </w:rPr>
              <w:t>Sí​</w:t>
            </w:r>
          </w:p>
        </w:tc>
        <w:tc>
          <w:tcPr>
            <w:tcW w:w="875" w:type="dxa"/>
            <w:tcBorders>
              <w:top w:val="nil"/>
              <w:left w:val="nil"/>
              <w:bottom w:val="nil"/>
              <w:right w:val="nil"/>
            </w:tcBorders>
            <w:shd w:val="clear" w:color="auto" w:fill="auto"/>
            <w:noWrap/>
            <w:vAlign w:val="bottom"/>
            <w:hideMark/>
          </w:tcPr>
          <w:p w:rsidR="00381B1D" w:rsidRPr="00EA7F3F" w:rsidRDefault="00381B1D" w:rsidP="00EA7F3F">
            <w:pPr>
              <w:spacing w:after="0" w:line="360" w:lineRule="auto"/>
              <w:jc w:val="both"/>
              <w:rPr>
                <w:rFonts w:ascii="Arial" w:eastAsia="Times New Roman" w:hAnsi="Arial" w:cs="Arial"/>
                <w:b/>
                <w:bCs/>
                <w:color w:val="1F3864" w:themeColor="accent5" w:themeShade="80"/>
                <w:sz w:val="24"/>
                <w:szCs w:val="24"/>
                <w:lang w:eastAsia="es-MX"/>
              </w:rPr>
            </w:pPr>
            <w:r w:rsidRPr="00EA7F3F">
              <w:rPr>
                <w:rFonts w:ascii="Arial" w:eastAsia="Times New Roman" w:hAnsi="Arial" w:cs="Arial"/>
                <w:b/>
                <w:bCs/>
                <w:color w:val="1F3864" w:themeColor="accent5" w:themeShade="80"/>
                <w:sz w:val="24"/>
                <w:szCs w:val="24"/>
                <w:lang w:eastAsia="es-MX"/>
              </w:rPr>
              <w:t>Sí​</w:t>
            </w:r>
          </w:p>
        </w:tc>
        <w:tc>
          <w:tcPr>
            <w:tcW w:w="1006" w:type="dxa"/>
            <w:tcBorders>
              <w:top w:val="nil"/>
              <w:left w:val="nil"/>
              <w:bottom w:val="nil"/>
              <w:right w:val="nil"/>
            </w:tcBorders>
          </w:tcPr>
          <w:p w:rsidR="00381B1D" w:rsidRPr="00EA7F3F" w:rsidRDefault="00381B1D" w:rsidP="00EA7F3F">
            <w:pPr>
              <w:spacing w:after="0" w:line="360" w:lineRule="auto"/>
              <w:jc w:val="both"/>
              <w:rPr>
                <w:rFonts w:ascii="Arial" w:eastAsia="Times New Roman" w:hAnsi="Arial" w:cs="Arial"/>
                <w:b/>
                <w:bCs/>
                <w:color w:val="1F3864" w:themeColor="accent5" w:themeShade="80"/>
                <w:sz w:val="24"/>
                <w:szCs w:val="24"/>
                <w:lang w:eastAsia="es-MX"/>
              </w:rPr>
            </w:pPr>
          </w:p>
        </w:tc>
        <w:tc>
          <w:tcPr>
            <w:tcW w:w="1006" w:type="dxa"/>
            <w:tcBorders>
              <w:top w:val="nil"/>
              <w:left w:val="nil"/>
              <w:bottom w:val="nil"/>
              <w:right w:val="nil"/>
            </w:tcBorders>
            <w:shd w:val="clear" w:color="auto" w:fill="auto"/>
            <w:noWrap/>
            <w:vAlign w:val="bottom"/>
            <w:hideMark/>
          </w:tcPr>
          <w:p w:rsidR="00381B1D" w:rsidRPr="00EA7F3F" w:rsidRDefault="00381B1D" w:rsidP="00EA7F3F">
            <w:pPr>
              <w:spacing w:after="0" w:line="360" w:lineRule="auto"/>
              <w:jc w:val="both"/>
              <w:rPr>
                <w:rFonts w:ascii="Arial" w:eastAsia="Times New Roman" w:hAnsi="Arial" w:cs="Arial"/>
                <w:b/>
                <w:bCs/>
                <w:color w:val="1F3864" w:themeColor="accent5" w:themeShade="80"/>
                <w:sz w:val="24"/>
                <w:szCs w:val="24"/>
                <w:lang w:eastAsia="es-MX"/>
              </w:rPr>
            </w:pPr>
            <w:r w:rsidRPr="00EA7F3F">
              <w:rPr>
                <w:rFonts w:ascii="Arial" w:eastAsia="Times New Roman" w:hAnsi="Arial" w:cs="Arial"/>
                <w:b/>
                <w:bCs/>
                <w:color w:val="1F3864" w:themeColor="accent5" w:themeShade="80"/>
                <w:sz w:val="24"/>
                <w:szCs w:val="24"/>
                <w:lang w:eastAsia="es-MX"/>
              </w:rPr>
              <w:t>Sí​</w:t>
            </w:r>
          </w:p>
        </w:tc>
        <w:tc>
          <w:tcPr>
            <w:tcW w:w="1035" w:type="dxa"/>
            <w:tcBorders>
              <w:top w:val="nil"/>
              <w:left w:val="nil"/>
              <w:bottom w:val="nil"/>
              <w:right w:val="nil"/>
            </w:tcBorders>
            <w:shd w:val="clear" w:color="auto" w:fill="auto"/>
            <w:noWrap/>
            <w:vAlign w:val="bottom"/>
            <w:hideMark/>
          </w:tcPr>
          <w:p w:rsidR="00381B1D" w:rsidRPr="00EA7F3F" w:rsidRDefault="00381B1D" w:rsidP="00EA7F3F">
            <w:pPr>
              <w:spacing w:after="0" w:line="360" w:lineRule="auto"/>
              <w:jc w:val="both"/>
              <w:rPr>
                <w:rFonts w:ascii="Arial" w:eastAsia="Times New Roman" w:hAnsi="Arial" w:cs="Arial"/>
                <w:b/>
                <w:bCs/>
                <w:color w:val="1F3864" w:themeColor="accent5" w:themeShade="80"/>
                <w:sz w:val="24"/>
                <w:szCs w:val="24"/>
                <w:lang w:eastAsia="es-MX"/>
              </w:rPr>
            </w:pPr>
            <w:r w:rsidRPr="00EA7F3F">
              <w:rPr>
                <w:rFonts w:ascii="Arial" w:eastAsia="Times New Roman" w:hAnsi="Arial" w:cs="Arial"/>
                <w:b/>
                <w:bCs/>
                <w:color w:val="1F3864" w:themeColor="accent5" w:themeShade="80"/>
                <w:sz w:val="24"/>
                <w:szCs w:val="24"/>
                <w:highlight w:val="yellow"/>
                <w:lang w:eastAsia="es-MX"/>
              </w:rPr>
              <w:t>No​</w:t>
            </w:r>
          </w:p>
        </w:tc>
      </w:tr>
      <w:tr w:rsidR="001B6009" w:rsidRPr="00EA7F3F" w:rsidTr="00381B1D">
        <w:trPr>
          <w:trHeight w:val="363"/>
        </w:trPr>
        <w:tc>
          <w:tcPr>
            <w:tcW w:w="3457" w:type="dxa"/>
            <w:tcBorders>
              <w:top w:val="nil"/>
              <w:left w:val="nil"/>
              <w:bottom w:val="nil"/>
              <w:right w:val="nil"/>
            </w:tcBorders>
            <w:shd w:val="clear" w:color="auto" w:fill="auto"/>
            <w:noWrap/>
            <w:vAlign w:val="bottom"/>
            <w:hideMark/>
          </w:tcPr>
          <w:p w:rsidR="00381B1D" w:rsidRPr="00EA7F3F" w:rsidRDefault="00381B1D" w:rsidP="00EA7F3F">
            <w:pPr>
              <w:spacing w:after="0" w:line="360" w:lineRule="auto"/>
              <w:jc w:val="both"/>
              <w:rPr>
                <w:rFonts w:ascii="Arial" w:eastAsia="Times New Roman" w:hAnsi="Arial" w:cs="Arial"/>
                <w:b/>
                <w:bCs/>
                <w:color w:val="1F3864" w:themeColor="accent5" w:themeShade="80"/>
                <w:sz w:val="24"/>
                <w:szCs w:val="24"/>
                <w:lang w:eastAsia="es-MX"/>
              </w:rPr>
            </w:pPr>
            <w:r w:rsidRPr="00EA7F3F">
              <w:rPr>
                <w:rFonts w:ascii="Arial" w:eastAsia="Times New Roman" w:hAnsi="Arial" w:cs="Arial"/>
                <w:b/>
                <w:bCs/>
                <w:color w:val="1F3864" w:themeColor="accent5" w:themeShade="80"/>
                <w:sz w:val="24"/>
                <w:szCs w:val="24"/>
                <w:lang w:eastAsia="es-MX"/>
              </w:rPr>
              <w:t>IVA propio​</w:t>
            </w:r>
          </w:p>
        </w:tc>
        <w:tc>
          <w:tcPr>
            <w:tcW w:w="875" w:type="dxa"/>
            <w:tcBorders>
              <w:top w:val="nil"/>
              <w:left w:val="nil"/>
              <w:bottom w:val="nil"/>
              <w:right w:val="nil"/>
            </w:tcBorders>
            <w:shd w:val="clear" w:color="auto" w:fill="auto"/>
            <w:noWrap/>
            <w:vAlign w:val="bottom"/>
            <w:hideMark/>
          </w:tcPr>
          <w:p w:rsidR="00381B1D" w:rsidRPr="00EA7F3F" w:rsidRDefault="00381B1D" w:rsidP="00EA7F3F">
            <w:pPr>
              <w:spacing w:after="0" w:line="360" w:lineRule="auto"/>
              <w:jc w:val="both"/>
              <w:rPr>
                <w:rFonts w:ascii="Arial" w:eastAsia="Times New Roman" w:hAnsi="Arial" w:cs="Arial"/>
                <w:b/>
                <w:bCs/>
                <w:color w:val="1F3864" w:themeColor="accent5" w:themeShade="80"/>
                <w:sz w:val="24"/>
                <w:szCs w:val="24"/>
                <w:lang w:eastAsia="es-MX"/>
              </w:rPr>
            </w:pPr>
            <w:r w:rsidRPr="00EA7F3F">
              <w:rPr>
                <w:rFonts w:ascii="Arial" w:eastAsia="Times New Roman" w:hAnsi="Arial" w:cs="Arial"/>
                <w:b/>
                <w:bCs/>
                <w:color w:val="1F3864" w:themeColor="accent5" w:themeShade="80"/>
                <w:sz w:val="24"/>
                <w:szCs w:val="24"/>
                <w:lang w:eastAsia="es-MX"/>
              </w:rPr>
              <w:t>Sí​</w:t>
            </w:r>
          </w:p>
        </w:tc>
        <w:tc>
          <w:tcPr>
            <w:tcW w:w="875" w:type="dxa"/>
            <w:tcBorders>
              <w:top w:val="nil"/>
              <w:left w:val="nil"/>
              <w:bottom w:val="nil"/>
              <w:right w:val="nil"/>
            </w:tcBorders>
            <w:shd w:val="clear" w:color="auto" w:fill="auto"/>
            <w:noWrap/>
            <w:vAlign w:val="bottom"/>
            <w:hideMark/>
          </w:tcPr>
          <w:p w:rsidR="00381B1D" w:rsidRPr="00EA7F3F" w:rsidRDefault="00381B1D" w:rsidP="00EA7F3F">
            <w:pPr>
              <w:spacing w:after="0" w:line="360" w:lineRule="auto"/>
              <w:jc w:val="both"/>
              <w:rPr>
                <w:rFonts w:ascii="Arial" w:eastAsia="Times New Roman" w:hAnsi="Arial" w:cs="Arial"/>
                <w:b/>
                <w:bCs/>
                <w:color w:val="1F3864" w:themeColor="accent5" w:themeShade="80"/>
                <w:sz w:val="24"/>
                <w:szCs w:val="24"/>
                <w:lang w:eastAsia="es-MX"/>
              </w:rPr>
            </w:pPr>
            <w:r w:rsidRPr="00EA7F3F">
              <w:rPr>
                <w:rFonts w:ascii="Arial" w:eastAsia="Times New Roman" w:hAnsi="Arial" w:cs="Arial"/>
                <w:b/>
                <w:bCs/>
                <w:color w:val="1F3864" w:themeColor="accent5" w:themeShade="80"/>
                <w:sz w:val="24"/>
                <w:szCs w:val="24"/>
                <w:highlight w:val="yellow"/>
                <w:lang w:eastAsia="es-MX"/>
              </w:rPr>
              <w:t>No*​</w:t>
            </w:r>
          </w:p>
        </w:tc>
        <w:tc>
          <w:tcPr>
            <w:tcW w:w="1006" w:type="dxa"/>
            <w:tcBorders>
              <w:top w:val="nil"/>
              <w:left w:val="nil"/>
              <w:bottom w:val="nil"/>
              <w:right w:val="nil"/>
            </w:tcBorders>
          </w:tcPr>
          <w:p w:rsidR="00381B1D" w:rsidRPr="00EA7F3F" w:rsidRDefault="00381B1D" w:rsidP="00EA7F3F">
            <w:pPr>
              <w:spacing w:after="0" w:line="360" w:lineRule="auto"/>
              <w:jc w:val="both"/>
              <w:rPr>
                <w:rFonts w:ascii="Arial" w:eastAsia="Times New Roman" w:hAnsi="Arial" w:cs="Arial"/>
                <w:b/>
                <w:bCs/>
                <w:color w:val="1F3864" w:themeColor="accent5" w:themeShade="80"/>
                <w:sz w:val="24"/>
                <w:szCs w:val="24"/>
                <w:lang w:eastAsia="es-MX"/>
              </w:rPr>
            </w:pPr>
          </w:p>
        </w:tc>
        <w:tc>
          <w:tcPr>
            <w:tcW w:w="1006" w:type="dxa"/>
            <w:tcBorders>
              <w:top w:val="nil"/>
              <w:left w:val="nil"/>
              <w:bottom w:val="nil"/>
              <w:right w:val="nil"/>
            </w:tcBorders>
            <w:shd w:val="clear" w:color="auto" w:fill="auto"/>
            <w:noWrap/>
            <w:vAlign w:val="bottom"/>
            <w:hideMark/>
          </w:tcPr>
          <w:p w:rsidR="00381B1D" w:rsidRPr="00EA7F3F" w:rsidRDefault="00381B1D" w:rsidP="00EA7F3F">
            <w:pPr>
              <w:spacing w:after="0" w:line="360" w:lineRule="auto"/>
              <w:jc w:val="both"/>
              <w:rPr>
                <w:rFonts w:ascii="Arial" w:eastAsia="Times New Roman" w:hAnsi="Arial" w:cs="Arial"/>
                <w:b/>
                <w:bCs/>
                <w:color w:val="1F3864" w:themeColor="accent5" w:themeShade="80"/>
                <w:sz w:val="24"/>
                <w:szCs w:val="24"/>
                <w:lang w:eastAsia="es-MX"/>
              </w:rPr>
            </w:pPr>
            <w:r w:rsidRPr="00EA7F3F">
              <w:rPr>
                <w:rFonts w:ascii="Arial" w:eastAsia="Times New Roman" w:hAnsi="Arial" w:cs="Arial"/>
                <w:b/>
                <w:bCs/>
                <w:color w:val="1F3864" w:themeColor="accent5" w:themeShade="80"/>
                <w:sz w:val="24"/>
                <w:szCs w:val="24"/>
                <w:lang w:eastAsia="es-MX"/>
              </w:rPr>
              <w:t>Sí​</w:t>
            </w:r>
          </w:p>
        </w:tc>
        <w:tc>
          <w:tcPr>
            <w:tcW w:w="1035" w:type="dxa"/>
            <w:tcBorders>
              <w:top w:val="nil"/>
              <w:left w:val="nil"/>
              <w:bottom w:val="nil"/>
              <w:right w:val="nil"/>
            </w:tcBorders>
            <w:shd w:val="clear" w:color="auto" w:fill="auto"/>
            <w:noWrap/>
            <w:vAlign w:val="bottom"/>
            <w:hideMark/>
          </w:tcPr>
          <w:p w:rsidR="00381B1D" w:rsidRPr="00EA7F3F" w:rsidRDefault="00381B1D" w:rsidP="00EA7F3F">
            <w:pPr>
              <w:spacing w:after="0" w:line="360" w:lineRule="auto"/>
              <w:jc w:val="both"/>
              <w:rPr>
                <w:rFonts w:ascii="Arial" w:eastAsia="Times New Roman" w:hAnsi="Arial" w:cs="Arial"/>
                <w:b/>
                <w:bCs/>
                <w:color w:val="1F3864" w:themeColor="accent5" w:themeShade="80"/>
                <w:sz w:val="24"/>
                <w:szCs w:val="24"/>
                <w:lang w:eastAsia="es-MX"/>
              </w:rPr>
            </w:pPr>
            <w:r w:rsidRPr="00EA7F3F">
              <w:rPr>
                <w:rFonts w:ascii="Arial" w:eastAsia="Times New Roman" w:hAnsi="Arial" w:cs="Arial"/>
                <w:b/>
                <w:bCs/>
                <w:color w:val="1F3864" w:themeColor="accent5" w:themeShade="80"/>
                <w:sz w:val="24"/>
                <w:szCs w:val="24"/>
                <w:highlight w:val="yellow"/>
                <w:lang w:eastAsia="es-MX"/>
              </w:rPr>
              <w:t>No​</w:t>
            </w:r>
          </w:p>
        </w:tc>
      </w:tr>
    </w:tbl>
    <w:p w:rsidR="00381B1D" w:rsidRPr="00EA7F3F" w:rsidRDefault="00381B1D" w:rsidP="00EA7F3F">
      <w:pPr>
        <w:pStyle w:val="Texto"/>
        <w:spacing w:line="360" w:lineRule="auto"/>
        <w:ind w:left="720" w:firstLine="0"/>
        <w:rPr>
          <w:color w:val="1F3864" w:themeColor="accent5" w:themeShade="80"/>
          <w:sz w:val="24"/>
          <w:szCs w:val="24"/>
        </w:rPr>
      </w:pPr>
    </w:p>
    <w:p w:rsidR="00381B1D" w:rsidRPr="00EA7F3F" w:rsidRDefault="00381B1D" w:rsidP="00EA7F3F">
      <w:pPr>
        <w:pStyle w:val="Texto"/>
        <w:numPr>
          <w:ilvl w:val="0"/>
          <w:numId w:val="5"/>
        </w:numPr>
        <w:spacing w:line="360" w:lineRule="auto"/>
        <w:rPr>
          <w:color w:val="1F3864" w:themeColor="accent5" w:themeShade="80"/>
          <w:sz w:val="24"/>
          <w:szCs w:val="24"/>
        </w:rPr>
      </w:pPr>
      <w:r w:rsidRPr="00EA7F3F">
        <w:rPr>
          <w:color w:val="1F3864" w:themeColor="accent5" w:themeShade="80"/>
          <w:sz w:val="24"/>
          <w:szCs w:val="24"/>
        </w:rPr>
        <w:t>Acumulación al gasto (deducción autorizada).*</w:t>
      </w:r>
    </w:p>
    <w:p w:rsidR="00381B1D" w:rsidRPr="00EA7F3F" w:rsidRDefault="00381B1D" w:rsidP="00EA7F3F">
      <w:pPr>
        <w:pStyle w:val="Texto"/>
        <w:spacing w:line="360" w:lineRule="auto"/>
        <w:ind w:left="708" w:firstLine="0"/>
        <w:rPr>
          <w:color w:val="1F3864" w:themeColor="accent5" w:themeShade="80"/>
          <w:sz w:val="24"/>
          <w:szCs w:val="24"/>
        </w:rPr>
      </w:pPr>
      <w:r w:rsidRPr="00EA7F3F">
        <w:rPr>
          <w:color w:val="1F3864" w:themeColor="accent5" w:themeShade="80"/>
          <w:sz w:val="24"/>
          <w:szCs w:val="24"/>
        </w:rPr>
        <w:t>La aplicación del impuesto a favor se determinara del desarrollo estratégica para pago de impuestos, es decir bajo el criterio del contador para beneficio de la empresa.</w:t>
      </w:r>
    </w:p>
    <w:p w:rsidR="00381B1D" w:rsidRPr="00EA7F3F" w:rsidRDefault="00381B1D" w:rsidP="00EA7F3F">
      <w:pPr>
        <w:pStyle w:val="Texto"/>
        <w:spacing w:line="360" w:lineRule="auto"/>
        <w:ind w:left="720" w:firstLine="0"/>
        <w:rPr>
          <w:color w:val="1F3864" w:themeColor="accent5" w:themeShade="80"/>
          <w:sz w:val="24"/>
          <w:szCs w:val="24"/>
        </w:rPr>
      </w:pPr>
    </w:p>
    <w:p w:rsidR="005C6FDA" w:rsidRPr="00EA7F3F" w:rsidRDefault="005C6FDA" w:rsidP="00EA7F3F">
      <w:pPr>
        <w:pStyle w:val="Texto"/>
        <w:spacing w:line="360" w:lineRule="auto"/>
        <w:rPr>
          <w:color w:val="1F3864" w:themeColor="accent5" w:themeShade="80"/>
          <w:sz w:val="24"/>
          <w:szCs w:val="24"/>
        </w:rPr>
      </w:pPr>
    </w:p>
    <w:p w:rsidR="00ED0981" w:rsidRPr="00EA7F3F" w:rsidRDefault="00ED0981" w:rsidP="00EA7F3F">
      <w:pPr>
        <w:spacing w:line="360" w:lineRule="auto"/>
        <w:jc w:val="both"/>
        <w:rPr>
          <w:rFonts w:ascii="Arial" w:hAnsi="Arial" w:cs="Arial"/>
          <w:color w:val="000000" w:themeColor="text1"/>
          <w:sz w:val="24"/>
          <w:szCs w:val="24"/>
          <w:lang w:val="es-ES"/>
        </w:rPr>
      </w:pPr>
    </w:p>
    <w:p w:rsidR="00ED0981" w:rsidRPr="00EA7F3F" w:rsidRDefault="00ED0981" w:rsidP="00EA7F3F">
      <w:pPr>
        <w:spacing w:line="360" w:lineRule="auto"/>
        <w:jc w:val="both"/>
        <w:rPr>
          <w:rFonts w:ascii="Arial" w:hAnsi="Arial" w:cs="Arial"/>
          <w:color w:val="000000" w:themeColor="text1"/>
          <w:sz w:val="24"/>
          <w:szCs w:val="24"/>
        </w:rPr>
      </w:pPr>
    </w:p>
    <w:p w:rsidR="00ED0981" w:rsidRPr="00EA7F3F" w:rsidRDefault="00ED0981" w:rsidP="00EA7F3F">
      <w:pPr>
        <w:spacing w:line="360" w:lineRule="auto"/>
        <w:jc w:val="both"/>
        <w:rPr>
          <w:rFonts w:ascii="Arial" w:hAnsi="Arial" w:cs="Arial"/>
          <w:color w:val="000000" w:themeColor="text1"/>
          <w:sz w:val="24"/>
          <w:szCs w:val="24"/>
          <w:lang w:val="es-ES"/>
        </w:rPr>
      </w:pPr>
    </w:p>
    <w:p w:rsidR="00EA7F3F" w:rsidRDefault="00EA7F3F" w:rsidP="00EA7F3F">
      <w:pPr>
        <w:spacing w:line="360" w:lineRule="auto"/>
        <w:jc w:val="both"/>
        <w:rPr>
          <w:rFonts w:ascii="Arial" w:hAnsi="Arial" w:cs="Arial"/>
          <w:color w:val="000000" w:themeColor="text1"/>
          <w:sz w:val="24"/>
          <w:szCs w:val="24"/>
        </w:rPr>
      </w:pPr>
    </w:p>
    <w:p w:rsidR="00EA7F3F" w:rsidRDefault="00EA7F3F">
      <w:pPr>
        <w:rPr>
          <w:rFonts w:ascii="Arial" w:hAnsi="Arial" w:cs="Arial"/>
          <w:color w:val="000000" w:themeColor="text1"/>
          <w:sz w:val="24"/>
          <w:szCs w:val="24"/>
        </w:rPr>
      </w:pPr>
      <w:r>
        <w:rPr>
          <w:rFonts w:ascii="Arial" w:hAnsi="Arial" w:cs="Arial"/>
          <w:color w:val="000000" w:themeColor="text1"/>
          <w:sz w:val="24"/>
          <w:szCs w:val="24"/>
        </w:rPr>
        <w:br w:type="page"/>
      </w:r>
    </w:p>
    <w:p w:rsidR="00020087" w:rsidRPr="00EA7F3F" w:rsidRDefault="00020087" w:rsidP="00EA7F3F">
      <w:pPr>
        <w:spacing w:line="360" w:lineRule="auto"/>
        <w:jc w:val="both"/>
        <w:rPr>
          <w:rFonts w:ascii="Arial" w:hAnsi="Arial" w:cs="Arial"/>
          <w:color w:val="000000" w:themeColor="text1"/>
          <w:sz w:val="24"/>
          <w:szCs w:val="24"/>
        </w:rPr>
      </w:pPr>
    </w:p>
    <w:sectPr w:rsidR="00020087" w:rsidRPr="00EA7F3F">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3C08" w:rsidRDefault="004B3C08" w:rsidP="005F0960">
      <w:pPr>
        <w:spacing w:after="0" w:line="240" w:lineRule="auto"/>
      </w:pPr>
      <w:r>
        <w:separator/>
      </w:r>
    </w:p>
  </w:endnote>
  <w:endnote w:type="continuationSeparator" w:id="0">
    <w:p w:rsidR="004B3C08" w:rsidRDefault="004B3C08" w:rsidP="005F0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0960" w:rsidRPr="00EA7F3F" w:rsidRDefault="005F0960">
    <w:pPr>
      <w:pStyle w:val="Piedepgina"/>
      <w:rPr>
        <w:lang w:val="en-US"/>
      </w:rPr>
    </w:pPr>
    <w:r w:rsidRPr="00EA7F3F">
      <w:rPr>
        <w:lang w:val="en-US"/>
      </w:rPr>
      <w:t>C</w:t>
    </w:r>
    <w:r w:rsidR="00EA7F3F" w:rsidRPr="00EA7F3F">
      <w:rPr>
        <w:lang w:val="en-US"/>
      </w:rPr>
      <w:t xml:space="preserve">ORPORATIVE CREATION RELATION S.C.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3C08" w:rsidRDefault="004B3C08" w:rsidP="005F0960">
      <w:pPr>
        <w:spacing w:after="0" w:line="240" w:lineRule="auto"/>
      </w:pPr>
      <w:r>
        <w:separator/>
      </w:r>
    </w:p>
  </w:footnote>
  <w:footnote w:type="continuationSeparator" w:id="0">
    <w:p w:rsidR="004B3C08" w:rsidRDefault="004B3C08" w:rsidP="005F09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201A5"/>
    <w:multiLevelType w:val="hybridMultilevel"/>
    <w:tmpl w:val="01C07F4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05419F8"/>
    <w:multiLevelType w:val="hybridMultilevel"/>
    <w:tmpl w:val="E0F4820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3202837"/>
    <w:multiLevelType w:val="hybridMultilevel"/>
    <w:tmpl w:val="0374CBBA"/>
    <w:lvl w:ilvl="0" w:tplc="22A2074C">
      <w:start w:val="1"/>
      <w:numFmt w:val="bullet"/>
      <w:lvlText w:val=""/>
      <w:lvlJc w:val="left"/>
      <w:pPr>
        <w:tabs>
          <w:tab w:val="num" w:pos="720"/>
        </w:tabs>
        <w:ind w:left="720" w:hanging="360"/>
      </w:pPr>
      <w:rPr>
        <w:rFonts w:ascii="Wingdings" w:hAnsi="Wingdings" w:hint="default"/>
      </w:rPr>
    </w:lvl>
    <w:lvl w:ilvl="1" w:tplc="3A6A6742">
      <w:start w:val="255"/>
      <w:numFmt w:val="bullet"/>
      <w:lvlText w:val="–"/>
      <w:lvlJc w:val="left"/>
      <w:pPr>
        <w:tabs>
          <w:tab w:val="num" w:pos="1440"/>
        </w:tabs>
        <w:ind w:left="1440" w:hanging="360"/>
      </w:pPr>
      <w:rPr>
        <w:rFonts w:ascii="Times New Roman" w:hAnsi="Times New Roman" w:hint="default"/>
      </w:rPr>
    </w:lvl>
    <w:lvl w:ilvl="2" w:tplc="B982523E" w:tentative="1">
      <w:start w:val="1"/>
      <w:numFmt w:val="bullet"/>
      <w:lvlText w:val=""/>
      <w:lvlJc w:val="left"/>
      <w:pPr>
        <w:tabs>
          <w:tab w:val="num" w:pos="2160"/>
        </w:tabs>
        <w:ind w:left="2160" w:hanging="360"/>
      </w:pPr>
      <w:rPr>
        <w:rFonts w:ascii="Wingdings" w:hAnsi="Wingdings" w:hint="default"/>
      </w:rPr>
    </w:lvl>
    <w:lvl w:ilvl="3" w:tplc="99B08DB0" w:tentative="1">
      <w:start w:val="1"/>
      <w:numFmt w:val="bullet"/>
      <w:lvlText w:val=""/>
      <w:lvlJc w:val="left"/>
      <w:pPr>
        <w:tabs>
          <w:tab w:val="num" w:pos="2880"/>
        </w:tabs>
        <w:ind w:left="2880" w:hanging="360"/>
      </w:pPr>
      <w:rPr>
        <w:rFonts w:ascii="Wingdings" w:hAnsi="Wingdings" w:hint="default"/>
      </w:rPr>
    </w:lvl>
    <w:lvl w:ilvl="4" w:tplc="21344A72" w:tentative="1">
      <w:start w:val="1"/>
      <w:numFmt w:val="bullet"/>
      <w:lvlText w:val=""/>
      <w:lvlJc w:val="left"/>
      <w:pPr>
        <w:tabs>
          <w:tab w:val="num" w:pos="3600"/>
        </w:tabs>
        <w:ind w:left="3600" w:hanging="360"/>
      </w:pPr>
      <w:rPr>
        <w:rFonts w:ascii="Wingdings" w:hAnsi="Wingdings" w:hint="default"/>
      </w:rPr>
    </w:lvl>
    <w:lvl w:ilvl="5" w:tplc="81EA83EE" w:tentative="1">
      <w:start w:val="1"/>
      <w:numFmt w:val="bullet"/>
      <w:lvlText w:val=""/>
      <w:lvlJc w:val="left"/>
      <w:pPr>
        <w:tabs>
          <w:tab w:val="num" w:pos="4320"/>
        </w:tabs>
        <w:ind w:left="4320" w:hanging="360"/>
      </w:pPr>
      <w:rPr>
        <w:rFonts w:ascii="Wingdings" w:hAnsi="Wingdings" w:hint="default"/>
      </w:rPr>
    </w:lvl>
    <w:lvl w:ilvl="6" w:tplc="B3647786" w:tentative="1">
      <w:start w:val="1"/>
      <w:numFmt w:val="bullet"/>
      <w:lvlText w:val=""/>
      <w:lvlJc w:val="left"/>
      <w:pPr>
        <w:tabs>
          <w:tab w:val="num" w:pos="5040"/>
        </w:tabs>
        <w:ind w:left="5040" w:hanging="360"/>
      </w:pPr>
      <w:rPr>
        <w:rFonts w:ascii="Wingdings" w:hAnsi="Wingdings" w:hint="default"/>
      </w:rPr>
    </w:lvl>
    <w:lvl w:ilvl="7" w:tplc="AF804B1C" w:tentative="1">
      <w:start w:val="1"/>
      <w:numFmt w:val="bullet"/>
      <w:lvlText w:val=""/>
      <w:lvlJc w:val="left"/>
      <w:pPr>
        <w:tabs>
          <w:tab w:val="num" w:pos="5760"/>
        </w:tabs>
        <w:ind w:left="5760" w:hanging="360"/>
      </w:pPr>
      <w:rPr>
        <w:rFonts w:ascii="Wingdings" w:hAnsi="Wingdings" w:hint="default"/>
      </w:rPr>
    </w:lvl>
    <w:lvl w:ilvl="8" w:tplc="DA9C48D0" w:tentative="1">
      <w:start w:val="1"/>
      <w:numFmt w:val="bullet"/>
      <w:lvlText w:val=""/>
      <w:lvlJc w:val="left"/>
      <w:pPr>
        <w:tabs>
          <w:tab w:val="num" w:pos="6480"/>
        </w:tabs>
        <w:ind w:left="6480" w:hanging="360"/>
      </w:pPr>
      <w:rPr>
        <w:rFonts w:ascii="Wingdings" w:hAnsi="Wingdings" w:hint="default"/>
      </w:rPr>
    </w:lvl>
  </w:abstractNum>
  <w:abstractNum w:abstractNumId="3">
    <w:nsid w:val="290C7563"/>
    <w:multiLevelType w:val="hybridMultilevel"/>
    <w:tmpl w:val="5DA643F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nsid w:val="4FE37D71"/>
    <w:multiLevelType w:val="hybridMultilevel"/>
    <w:tmpl w:val="406AAE9A"/>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5">
    <w:nsid w:val="5C4176FF"/>
    <w:multiLevelType w:val="hybridMultilevel"/>
    <w:tmpl w:val="BBD42A0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7A1"/>
    <w:rsid w:val="00020087"/>
    <w:rsid w:val="00053E0C"/>
    <w:rsid w:val="000A3107"/>
    <w:rsid w:val="000E6E50"/>
    <w:rsid w:val="001B5473"/>
    <w:rsid w:val="001B6009"/>
    <w:rsid w:val="001C5225"/>
    <w:rsid w:val="00214750"/>
    <w:rsid w:val="002D6CF6"/>
    <w:rsid w:val="003113EA"/>
    <w:rsid w:val="00377894"/>
    <w:rsid w:val="00381B1D"/>
    <w:rsid w:val="004066AC"/>
    <w:rsid w:val="004A17A1"/>
    <w:rsid w:val="004B3C08"/>
    <w:rsid w:val="004E76D1"/>
    <w:rsid w:val="00526215"/>
    <w:rsid w:val="005C6FDA"/>
    <w:rsid w:val="005F0960"/>
    <w:rsid w:val="00684433"/>
    <w:rsid w:val="00766D23"/>
    <w:rsid w:val="007D5A09"/>
    <w:rsid w:val="0080371C"/>
    <w:rsid w:val="008B66A7"/>
    <w:rsid w:val="0090000A"/>
    <w:rsid w:val="00945646"/>
    <w:rsid w:val="00946440"/>
    <w:rsid w:val="00981E66"/>
    <w:rsid w:val="009B2F93"/>
    <w:rsid w:val="00A83BFF"/>
    <w:rsid w:val="00B5670F"/>
    <w:rsid w:val="00BD79CD"/>
    <w:rsid w:val="00C909B0"/>
    <w:rsid w:val="00CE5B82"/>
    <w:rsid w:val="00D0104C"/>
    <w:rsid w:val="00DB451A"/>
    <w:rsid w:val="00DF5165"/>
    <w:rsid w:val="00E87BD9"/>
    <w:rsid w:val="00EA7F3F"/>
    <w:rsid w:val="00ED0981"/>
    <w:rsid w:val="00F401B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F9A23F-EAD8-4B35-9704-FCD9312DE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
    <w:name w:val="Texto"/>
    <w:basedOn w:val="Normal"/>
    <w:link w:val="TextoCar"/>
    <w:rsid w:val="009B2F93"/>
    <w:pPr>
      <w:spacing w:after="101" w:line="216" w:lineRule="exact"/>
      <w:ind w:firstLine="288"/>
      <w:jc w:val="both"/>
    </w:pPr>
    <w:rPr>
      <w:rFonts w:ascii="Arial" w:eastAsia="Times New Roman" w:hAnsi="Arial" w:cs="Arial"/>
      <w:sz w:val="18"/>
      <w:szCs w:val="20"/>
      <w:lang w:val="es-ES" w:eastAsia="es-ES"/>
    </w:rPr>
  </w:style>
  <w:style w:type="character" w:customStyle="1" w:styleId="TextoCar">
    <w:name w:val="Texto Car"/>
    <w:link w:val="Texto"/>
    <w:locked/>
    <w:rsid w:val="009B2F93"/>
    <w:rPr>
      <w:rFonts w:ascii="Arial" w:eastAsia="Times New Roman" w:hAnsi="Arial" w:cs="Arial"/>
      <w:sz w:val="18"/>
      <w:szCs w:val="20"/>
      <w:lang w:val="es-ES" w:eastAsia="es-ES"/>
    </w:rPr>
  </w:style>
  <w:style w:type="paragraph" w:styleId="Prrafodelista">
    <w:name w:val="List Paragraph"/>
    <w:basedOn w:val="Normal"/>
    <w:uiPriority w:val="34"/>
    <w:qFormat/>
    <w:rsid w:val="009B2F93"/>
    <w:pPr>
      <w:ind w:left="720"/>
      <w:contextualSpacing/>
    </w:pPr>
  </w:style>
  <w:style w:type="paragraph" w:styleId="Textodeglobo">
    <w:name w:val="Balloon Text"/>
    <w:basedOn w:val="Normal"/>
    <w:link w:val="TextodegloboCar"/>
    <w:uiPriority w:val="99"/>
    <w:semiHidden/>
    <w:unhideWhenUsed/>
    <w:rsid w:val="0068443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84433"/>
    <w:rPr>
      <w:rFonts w:ascii="Segoe UI" w:hAnsi="Segoe UI" w:cs="Segoe UI"/>
      <w:sz w:val="18"/>
      <w:szCs w:val="18"/>
    </w:rPr>
  </w:style>
  <w:style w:type="paragraph" w:styleId="Textosinformato">
    <w:name w:val="Plain Text"/>
    <w:basedOn w:val="Normal"/>
    <w:link w:val="TextosinformatoCar"/>
    <w:rsid w:val="00945646"/>
    <w:pPr>
      <w:spacing w:after="0" w:line="240" w:lineRule="auto"/>
    </w:pPr>
    <w:rPr>
      <w:rFonts w:ascii="Courier New" w:eastAsia="Times New Roman" w:hAnsi="Courier New" w:cs="Courier New"/>
      <w:sz w:val="20"/>
      <w:szCs w:val="20"/>
      <w:lang w:eastAsia="es-ES"/>
    </w:rPr>
  </w:style>
  <w:style w:type="character" w:customStyle="1" w:styleId="TextosinformatoCar">
    <w:name w:val="Texto sin formato Car"/>
    <w:basedOn w:val="Fuentedeprrafopredeter"/>
    <w:link w:val="Textosinformato"/>
    <w:rsid w:val="00945646"/>
    <w:rPr>
      <w:rFonts w:ascii="Courier New" w:eastAsia="Times New Roman" w:hAnsi="Courier New" w:cs="Courier New"/>
      <w:sz w:val="20"/>
      <w:szCs w:val="20"/>
      <w:lang w:eastAsia="es-ES"/>
    </w:rPr>
  </w:style>
  <w:style w:type="paragraph" w:styleId="Encabezado">
    <w:name w:val="header"/>
    <w:basedOn w:val="Normal"/>
    <w:link w:val="EncabezadoCar"/>
    <w:uiPriority w:val="99"/>
    <w:unhideWhenUsed/>
    <w:rsid w:val="005F09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F0960"/>
  </w:style>
  <w:style w:type="paragraph" w:styleId="Piedepgina">
    <w:name w:val="footer"/>
    <w:basedOn w:val="Normal"/>
    <w:link w:val="PiedepginaCar"/>
    <w:uiPriority w:val="99"/>
    <w:unhideWhenUsed/>
    <w:rsid w:val="005F09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F09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877891">
      <w:bodyDiv w:val="1"/>
      <w:marLeft w:val="0"/>
      <w:marRight w:val="0"/>
      <w:marTop w:val="0"/>
      <w:marBottom w:val="0"/>
      <w:divBdr>
        <w:top w:val="none" w:sz="0" w:space="0" w:color="auto"/>
        <w:left w:val="none" w:sz="0" w:space="0" w:color="auto"/>
        <w:bottom w:val="none" w:sz="0" w:space="0" w:color="auto"/>
        <w:right w:val="none" w:sz="0" w:space="0" w:color="auto"/>
      </w:divBdr>
      <w:divsChild>
        <w:div w:id="1032027599">
          <w:marLeft w:val="0"/>
          <w:marRight w:val="0"/>
          <w:marTop w:val="0"/>
          <w:marBottom w:val="0"/>
          <w:divBdr>
            <w:top w:val="none" w:sz="0" w:space="0" w:color="auto"/>
            <w:left w:val="none" w:sz="0" w:space="0" w:color="auto"/>
            <w:bottom w:val="none" w:sz="0" w:space="0" w:color="auto"/>
            <w:right w:val="none" w:sz="0" w:space="0" w:color="auto"/>
          </w:divBdr>
        </w:div>
        <w:div w:id="1602489629">
          <w:marLeft w:val="0"/>
          <w:marRight w:val="0"/>
          <w:marTop w:val="0"/>
          <w:marBottom w:val="0"/>
          <w:divBdr>
            <w:top w:val="none" w:sz="0" w:space="0" w:color="auto"/>
            <w:left w:val="none" w:sz="0" w:space="0" w:color="auto"/>
            <w:bottom w:val="none" w:sz="0" w:space="0" w:color="auto"/>
            <w:right w:val="none" w:sz="0" w:space="0" w:color="auto"/>
          </w:divBdr>
          <w:divsChild>
            <w:div w:id="53215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23689">
      <w:bodyDiv w:val="1"/>
      <w:marLeft w:val="0"/>
      <w:marRight w:val="0"/>
      <w:marTop w:val="0"/>
      <w:marBottom w:val="0"/>
      <w:divBdr>
        <w:top w:val="none" w:sz="0" w:space="0" w:color="auto"/>
        <w:left w:val="none" w:sz="0" w:space="0" w:color="auto"/>
        <w:bottom w:val="none" w:sz="0" w:space="0" w:color="auto"/>
        <w:right w:val="none" w:sz="0" w:space="0" w:color="auto"/>
      </w:divBdr>
      <w:divsChild>
        <w:div w:id="1129669314">
          <w:marLeft w:val="418"/>
          <w:marRight w:val="0"/>
          <w:marTop w:val="288"/>
          <w:marBottom w:val="288"/>
          <w:divBdr>
            <w:top w:val="none" w:sz="0" w:space="0" w:color="auto"/>
            <w:left w:val="none" w:sz="0" w:space="0" w:color="auto"/>
            <w:bottom w:val="none" w:sz="0" w:space="0" w:color="auto"/>
            <w:right w:val="none" w:sz="0" w:space="0" w:color="auto"/>
          </w:divBdr>
        </w:div>
        <w:div w:id="49503295">
          <w:marLeft w:val="864"/>
          <w:marRight w:val="0"/>
          <w:marTop w:val="77"/>
          <w:marBottom w:val="77"/>
          <w:divBdr>
            <w:top w:val="none" w:sz="0" w:space="0" w:color="auto"/>
            <w:left w:val="none" w:sz="0" w:space="0" w:color="auto"/>
            <w:bottom w:val="none" w:sz="0" w:space="0" w:color="auto"/>
            <w:right w:val="none" w:sz="0" w:space="0" w:color="auto"/>
          </w:divBdr>
        </w:div>
        <w:div w:id="782067953">
          <w:marLeft w:val="864"/>
          <w:marRight w:val="0"/>
          <w:marTop w:val="77"/>
          <w:marBottom w:val="77"/>
          <w:divBdr>
            <w:top w:val="none" w:sz="0" w:space="0" w:color="auto"/>
            <w:left w:val="none" w:sz="0" w:space="0" w:color="auto"/>
            <w:bottom w:val="none" w:sz="0" w:space="0" w:color="auto"/>
            <w:right w:val="none" w:sz="0" w:space="0" w:color="auto"/>
          </w:divBdr>
        </w:div>
        <w:div w:id="1553350867">
          <w:marLeft w:val="864"/>
          <w:marRight w:val="0"/>
          <w:marTop w:val="77"/>
          <w:marBottom w:val="77"/>
          <w:divBdr>
            <w:top w:val="none" w:sz="0" w:space="0" w:color="auto"/>
            <w:left w:val="none" w:sz="0" w:space="0" w:color="auto"/>
            <w:bottom w:val="none" w:sz="0" w:space="0" w:color="auto"/>
            <w:right w:val="none" w:sz="0" w:space="0" w:color="auto"/>
          </w:divBdr>
        </w:div>
        <w:div w:id="1467504841">
          <w:marLeft w:val="864"/>
          <w:marRight w:val="0"/>
          <w:marTop w:val="77"/>
          <w:marBottom w:val="77"/>
          <w:divBdr>
            <w:top w:val="none" w:sz="0" w:space="0" w:color="auto"/>
            <w:left w:val="none" w:sz="0" w:space="0" w:color="auto"/>
            <w:bottom w:val="none" w:sz="0" w:space="0" w:color="auto"/>
            <w:right w:val="none" w:sz="0" w:space="0" w:color="auto"/>
          </w:divBdr>
        </w:div>
      </w:divsChild>
    </w:div>
    <w:div w:id="1870414562">
      <w:bodyDiv w:val="1"/>
      <w:marLeft w:val="0"/>
      <w:marRight w:val="0"/>
      <w:marTop w:val="0"/>
      <w:marBottom w:val="0"/>
      <w:divBdr>
        <w:top w:val="none" w:sz="0" w:space="0" w:color="auto"/>
        <w:left w:val="none" w:sz="0" w:space="0" w:color="auto"/>
        <w:bottom w:val="none" w:sz="0" w:space="0" w:color="auto"/>
        <w:right w:val="none" w:sz="0" w:space="0" w:color="auto"/>
      </w:divBdr>
      <w:divsChild>
        <w:div w:id="745030726">
          <w:marLeft w:val="418"/>
          <w:marRight w:val="0"/>
          <w:marTop w:val="288"/>
          <w:marBottom w:val="288"/>
          <w:divBdr>
            <w:top w:val="none" w:sz="0" w:space="0" w:color="auto"/>
            <w:left w:val="none" w:sz="0" w:space="0" w:color="auto"/>
            <w:bottom w:val="none" w:sz="0" w:space="0" w:color="auto"/>
            <w:right w:val="none" w:sz="0" w:space="0" w:color="auto"/>
          </w:divBdr>
        </w:div>
        <w:div w:id="2140563607">
          <w:marLeft w:val="864"/>
          <w:marRight w:val="0"/>
          <w:marTop w:val="77"/>
          <w:marBottom w:val="77"/>
          <w:divBdr>
            <w:top w:val="none" w:sz="0" w:space="0" w:color="auto"/>
            <w:left w:val="none" w:sz="0" w:space="0" w:color="auto"/>
            <w:bottom w:val="none" w:sz="0" w:space="0" w:color="auto"/>
            <w:right w:val="none" w:sz="0" w:space="0" w:color="auto"/>
          </w:divBdr>
        </w:div>
        <w:div w:id="1575506699">
          <w:marLeft w:val="864"/>
          <w:marRight w:val="0"/>
          <w:marTop w:val="77"/>
          <w:marBottom w:val="77"/>
          <w:divBdr>
            <w:top w:val="none" w:sz="0" w:space="0" w:color="auto"/>
            <w:left w:val="none" w:sz="0" w:space="0" w:color="auto"/>
            <w:bottom w:val="none" w:sz="0" w:space="0" w:color="auto"/>
            <w:right w:val="none" w:sz="0" w:space="0" w:color="auto"/>
          </w:divBdr>
        </w:div>
        <w:div w:id="1592854603">
          <w:marLeft w:val="864"/>
          <w:marRight w:val="0"/>
          <w:marTop w:val="77"/>
          <w:marBottom w:val="77"/>
          <w:divBdr>
            <w:top w:val="none" w:sz="0" w:space="0" w:color="auto"/>
            <w:left w:val="none" w:sz="0" w:space="0" w:color="auto"/>
            <w:bottom w:val="none" w:sz="0" w:space="0" w:color="auto"/>
            <w:right w:val="none" w:sz="0" w:space="0" w:color="auto"/>
          </w:divBdr>
        </w:div>
        <w:div w:id="280839316">
          <w:marLeft w:val="864"/>
          <w:marRight w:val="0"/>
          <w:marTop w:val="77"/>
          <w:marBottom w:val="77"/>
          <w:divBdr>
            <w:top w:val="none" w:sz="0" w:space="0" w:color="auto"/>
            <w:left w:val="none" w:sz="0" w:space="0" w:color="auto"/>
            <w:bottom w:val="none" w:sz="0" w:space="0" w:color="auto"/>
            <w:right w:val="none" w:sz="0" w:space="0" w:color="auto"/>
          </w:divBdr>
        </w:div>
      </w:divsChild>
    </w:div>
    <w:div w:id="2003001278">
      <w:bodyDiv w:val="1"/>
      <w:marLeft w:val="0"/>
      <w:marRight w:val="0"/>
      <w:marTop w:val="0"/>
      <w:marBottom w:val="0"/>
      <w:divBdr>
        <w:top w:val="none" w:sz="0" w:space="0" w:color="auto"/>
        <w:left w:val="none" w:sz="0" w:space="0" w:color="auto"/>
        <w:bottom w:val="none" w:sz="0" w:space="0" w:color="auto"/>
        <w:right w:val="none" w:sz="0" w:space="0" w:color="auto"/>
      </w:divBdr>
      <w:divsChild>
        <w:div w:id="1388183707">
          <w:marLeft w:val="0"/>
          <w:marRight w:val="0"/>
          <w:marTop w:val="0"/>
          <w:marBottom w:val="0"/>
          <w:divBdr>
            <w:top w:val="none" w:sz="0" w:space="0" w:color="auto"/>
            <w:left w:val="none" w:sz="0" w:space="0" w:color="auto"/>
            <w:bottom w:val="none" w:sz="0" w:space="0" w:color="auto"/>
            <w:right w:val="none" w:sz="0" w:space="0" w:color="auto"/>
          </w:divBdr>
        </w:div>
        <w:div w:id="906764581">
          <w:marLeft w:val="0"/>
          <w:marRight w:val="0"/>
          <w:marTop w:val="0"/>
          <w:marBottom w:val="0"/>
          <w:divBdr>
            <w:top w:val="none" w:sz="0" w:space="0" w:color="auto"/>
            <w:left w:val="none" w:sz="0" w:space="0" w:color="auto"/>
            <w:bottom w:val="none" w:sz="0" w:space="0" w:color="auto"/>
            <w:right w:val="none" w:sz="0" w:space="0" w:color="auto"/>
          </w:divBdr>
        </w:div>
        <w:div w:id="639506139">
          <w:marLeft w:val="0"/>
          <w:marRight w:val="0"/>
          <w:marTop w:val="0"/>
          <w:marBottom w:val="0"/>
          <w:divBdr>
            <w:top w:val="none" w:sz="0" w:space="0" w:color="auto"/>
            <w:left w:val="none" w:sz="0" w:space="0" w:color="auto"/>
            <w:bottom w:val="none" w:sz="0" w:space="0" w:color="auto"/>
            <w:right w:val="none" w:sz="0" w:space="0" w:color="auto"/>
          </w:divBdr>
        </w:div>
        <w:div w:id="1391925925">
          <w:marLeft w:val="0"/>
          <w:marRight w:val="0"/>
          <w:marTop w:val="0"/>
          <w:marBottom w:val="0"/>
          <w:divBdr>
            <w:top w:val="none" w:sz="0" w:space="0" w:color="auto"/>
            <w:left w:val="none" w:sz="0" w:space="0" w:color="auto"/>
            <w:bottom w:val="none" w:sz="0" w:space="0" w:color="auto"/>
            <w:right w:val="none" w:sz="0" w:space="0" w:color="auto"/>
          </w:divBdr>
        </w:div>
        <w:div w:id="752893639">
          <w:marLeft w:val="0"/>
          <w:marRight w:val="0"/>
          <w:marTop w:val="0"/>
          <w:marBottom w:val="0"/>
          <w:divBdr>
            <w:top w:val="none" w:sz="0" w:space="0" w:color="auto"/>
            <w:left w:val="none" w:sz="0" w:space="0" w:color="auto"/>
            <w:bottom w:val="none" w:sz="0" w:space="0" w:color="auto"/>
            <w:right w:val="none" w:sz="0" w:space="0" w:color="auto"/>
          </w:divBdr>
        </w:div>
        <w:div w:id="1846244274">
          <w:marLeft w:val="0"/>
          <w:marRight w:val="0"/>
          <w:marTop w:val="0"/>
          <w:marBottom w:val="0"/>
          <w:divBdr>
            <w:top w:val="none" w:sz="0" w:space="0" w:color="auto"/>
            <w:left w:val="none" w:sz="0" w:space="0" w:color="auto"/>
            <w:bottom w:val="none" w:sz="0" w:space="0" w:color="auto"/>
            <w:right w:val="none" w:sz="0" w:space="0" w:color="auto"/>
          </w:divBdr>
        </w:div>
        <w:div w:id="285427679">
          <w:marLeft w:val="0"/>
          <w:marRight w:val="0"/>
          <w:marTop w:val="0"/>
          <w:marBottom w:val="0"/>
          <w:divBdr>
            <w:top w:val="none" w:sz="0" w:space="0" w:color="auto"/>
            <w:left w:val="none" w:sz="0" w:space="0" w:color="auto"/>
            <w:bottom w:val="none" w:sz="0" w:space="0" w:color="auto"/>
            <w:right w:val="none" w:sz="0" w:space="0" w:color="auto"/>
          </w:divBdr>
        </w:div>
        <w:div w:id="1138035470">
          <w:marLeft w:val="0"/>
          <w:marRight w:val="0"/>
          <w:marTop w:val="0"/>
          <w:marBottom w:val="0"/>
          <w:divBdr>
            <w:top w:val="none" w:sz="0" w:space="0" w:color="auto"/>
            <w:left w:val="none" w:sz="0" w:space="0" w:color="auto"/>
            <w:bottom w:val="none" w:sz="0" w:space="0" w:color="auto"/>
            <w:right w:val="none" w:sz="0" w:space="0" w:color="auto"/>
          </w:divBdr>
        </w:div>
        <w:div w:id="2989186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642</TotalTime>
  <Pages>1</Pages>
  <Words>1626</Words>
  <Characters>8944</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Sipyme-nom2</dc:creator>
  <cp:keywords/>
  <dc:description/>
  <cp:lastModifiedBy>Sipyme-nom2</cp:lastModifiedBy>
  <cp:revision>10</cp:revision>
  <cp:lastPrinted>2016-05-24T22:42:00Z</cp:lastPrinted>
  <dcterms:created xsi:type="dcterms:W3CDTF">2016-05-24T17:32:00Z</dcterms:created>
  <dcterms:modified xsi:type="dcterms:W3CDTF">2016-05-25T18:23:00Z</dcterms:modified>
</cp:coreProperties>
</file>