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30F" w:rsidRPr="002A730F" w:rsidRDefault="002A730F" w:rsidP="002A730F">
      <w:pPr>
        <w:spacing w:line="276" w:lineRule="auto"/>
        <w:rPr>
          <w:rFonts w:ascii="Book Antiqua" w:eastAsia="Times New Roman" w:hAnsi="Book Antiqua" w:cs="Times New Roman"/>
          <w:sz w:val="22"/>
          <w:szCs w:val="22"/>
          <w:lang w:val="en-IN"/>
        </w:rPr>
      </w:pPr>
      <w:r w:rsidRPr="002A730F">
        <w:rPr>
          <w:rFonts w:ascii="Book Antiqua" w:eastAsia="Times New Roman" w:hAnsi="Book Antiqua" w:cs="Times New Roman"/>
          <w:b/>
          <w:sz w:val="22"/>
          <w:szCs w:val="22"/>
          <w:lang w:val="en-IN"/>
        </w:rPr>
        <w:t>Case :</w:t>
      </w:r>
      <w:r>
        <w:rPr>
          <w:rFonts w:ascii="Book Antiqua" w:eastAsia="Times New Roman" w:hAnsi="Book Antiqua" w:cs="Times New Roman"/>
          <w:b/>
          <w:sz w:val="22"/>
          <w:szCs w:val="22"/>
          <w:lang w:val="en-IN"/>
        </w:rPr>
        <w:t xml:space="preserve"> </w:t>
      </w:r>
      <w:r w:rsidRPr="002A730F">
        <w:rPr>
          <w:rFonts w:ascii="Book Antiqua" w:eastAsia="Times New Roman" w:hAnsi="Book Antiqua" w:cs="Times New Roman"/>
          <w:sz w:val="22"/>
          <w:szCs w:val="22"/>
          <w:lang w:val="en-IN"/>
        </w:rPr>
        <w:t xml:space="preserve">Harper &amp; Row Publishers, Inc. v. Nation Enterprises, 471 U.S. 539 (1985) </w:t>
      </w:r>
      <w:r>
        <w:rPr>
          <w:rFonts w:ascii="Book Antiqua" w:eastAsia="Times New Roman" w:hAnsi="Book Antiqua" w:cs="Times New Roman"/>
          <w:sz w:val="22"/>
          <w:szCs w:val="22"/>
          <w:lang w:val="en-IN"/>
        </w:rPr>
        <w:t xml:space="preserve">Supreme Court of US </w:t>
      </w:r>
    </w:p>
    <w:p w:rsidR="002A730F" w:rsidRPr="002A730F" w:rsidRDefault="002A730F" w:rsidP="002A730F">
      <w:pPr>
        <w:spacing w:line="276" w:lineRule="auto"/>
        <w:rPr>
          <w:rFonts w:ascii="Book Antiqua" w:eastAsia="Times New Roman" w:hAnsi="Book Antiqua" w:cs="Times New Roman"/>
          <w:sz w:val="22"/>
          <w:szCs w:val="22"/>
          <w:lang w:val="en-IN"/>
        </w:rPr>
      </w:pPr>
    </w:p>
    <w:p w:rsidR="002A730F" w:rsidRPr="002A730F" w:rsidRDefault="002A730F" w:rsidP="002A730F">
      <w:pPr>
        <w:spacing w:line="276" w:lineRule="auto"/>
        <w:rPr>
          <w:rFonts w:ascii="Book Antiqua" w:eastAsia="Times New Roman" w:hAnsi="Book Antiqua" w:cs="Times New Roman"/>
          <w:sz w:val="22"/>
          <w:szCs w:val="22"/>
          <w:lang w:val="en-IN"/>
        </w:rPr>
      </w:pPr>
      <w:r w:rsidRPr="002A730F">
        <w:rPr>
          <w:rFonts w:ascii="Book Antiqua" w:eastAsia="Times New Roman" w:hAnsi="Book Antiqua" w:cs="Times New Roman"/>
          <w:b/>
          <w:sz w:val="22"/>
          <w:szCs w:val="22"/>
          <w:lang w:val="en-IN"/>
        </w:rPr>
        <w:t>Key Facts:</w:t>
      </w:r>
      <w:r w:rsidRPr="002A730F">
        <w:rPr>
          <w:rFonts w:ascii="Book Antiqua" w:eastAsia="Times New Roman" w:hAnsi="Book Antiqua" w:cs="Times New Roman"/>
          <w:sz w:val="22"/>
          <w:szCs w:val="22"/>
          <w:lang w:val="en-IN"/>
        </w:rPr>
        <w:t xml:space="preserve"> Former President Gerald Ford sold plaintiff Harper &amp; Row Publishers, Inc. the right to publish his memoirs. Time magazine paid Harper &amp; Row for the exclusive right to serialize excerpts of the unpublished memoirs. Before Time began serializing, defendant Nation Enterprises, publisher of The Nation magazine, obtained an unauthorized copy of the unpublished memoirs and published a 2,250-word article, at least 300-400 words of which constituted verbatim quotes taken from the manuscript. Time magazine canceled its agreement with Harper &amp; Row, who sued The Nation for infringement. </w:t>
      </w:r>
    </w:p>
    <w:p w:rsidR="002A730F" w:rsidRPr="002A730F" w:rsidRDefault="002A730F" w:rsidP="002A730F">
      <w:pPr>
        <w:spacing w:line="276" w:lineRule="auto"/>
        <w:rPr>
          <w:rFonts w:ascii="Book Antiqua" w:eastAsia="Times New Roman" w:hAnsi="Book Antiqua" w:cs="Times New Roman"/>
          <w:sz w:val="22"/>
          <w:szCs w:val="22"/>
          <w:lang w:val="en-IN"/>
        </w:rPr>
      </w:pPr>
    </w:p>
    <w:p w:rsidR="002A730F" w:rsidRDefault="002A730F" w:rsidP="002A730F">
      <w:pPr>
        <w:spacing w:line="276" w:lineRule="auto"/>
        <w:rPr>
          <w:rFonts w:ascii="Book Antiqua" w:eastAsia="Times New Roman" w:hAnsi="Book Antiqua" w:cs="Times New Roman"/>
          <w:sz w:val="22"/>
          <w:szCs w:val="22"/>
          <w:lang w:val="en-IN"/>
        </w:rPr>
      </w:pPr>
      <w:r w:rsidRPr="002A730F">
        <w:rPr>
          <w:rFonts w:ascii="Book Antiqua" w:eastAsia="Times New Roman" w:hAnsi="Book Antiqua" w:cs="Times New Roman"/>
          <w:b/>
          <w:sz w:val="22"/>
          <w:szCs w:val="22"/>
          <w:lang w:val="en-IN"/>
        </w:rPr>
        <w:t xml:space="preserve">Issue: </w:t>
      </w:r>
      <w:r w:rsidRPr="002A730F">
        <w:rPr>
          <w:rFonts w:ascii="Book Antiqua" w:eastAsia="Times New Roman" w:hAnsi="Book Antiqua" w:cs="Times New Roman"/>
          <w:sz w:val="22"/>
          <w:szCs w:val="22"/>
          <w:lang w:val="en-IN"/>
        </w:rPr>
        <w:t xml:space="preserve"> Whether The Nation’s unauthorized reproduction of excerpts from the unpublished memoirs was fair use. Holding The Court found defendant’s unauthorized reproduction of excerpts from the unpublished memoirs was not fair use. </w:t>
      </w:r>
    </w:p>
    <w:p w:rsidR="002A730F" w:rsidRDefault="002A730F" w:rsidP="002A730F">
      <w:pPr>
        <w:spacing w:line="276" w:lineRule="auto"/>
        <w:rPr>
          <w:rFonts w:ascii="Book Antiqua" w:eastAsia="Times New Roman" w:hAnsi="Book Antiqua" w:cs="Times New Roman"/>
          <w:sz w:val="22"/>
          <w:szCs w:val="22"/>
          <w:lang w:val="en-IN"/>
        </w:rPr>
      </w:pPr>
    </w:p>
    <w:p w:rsidR="002A730F" w:rsidRDefault="002A730F" w:rsidP="002A730F">
      <w:pPr>
        <w:spacing w:line="276" w:lineRule="auto"/>
        <w:rPr>
          <w:rFonts w:ascii="Book Antiqua" w:eastAsia="Times New Roman" w:hAnsi="Book Antiqua" w:cs="Times New Roman"/>
          <w:sz w:val="22"/>
          <w:szCs w:val="22"/>
          <w:lang w:val="en-IN"/>
        </w:rPr>
      </w:pPr>
      <w:r w:rsidRPr="002A730F">
        <w:rPr>
          <w:rFonts w:ascii="Book Antiqua" w:eastAsia="Times New Roman" w:hAnsi="Book Antiqua" w:cs="Times New Roman"/>
          <w:b/>
          <w:sz w:val="22"/>
          <w:szCs w:val="22"/>
          <w:lang w:val="en-IN"/>
        </w:rPr>
        <w:t>Judgement :</w:t>
      </w:r>
      <w:r>
        <w:rPr>
          <w:rFonts w:ascii="Book Antiqua" w:eastAsia="Times New Roman" w:hAnsi="Book Antiqua" w:cs="Times New Roman"/>
          <w:sz w:val="22"/>
          <w:szCs w:val="22"/>
          <w:lang w:val="en-IN"/>
        </w:rPr>
        <w:t xml:space="preserve"> </w:t>
      </w:r>
      <w:r w:rsidRPr="002A730F">
        <w:rPr>
          <w:rFonts w:ascii="Book Antiqua" w:eastAsia="Times New Roman" w:hAnsi="Book Antiqua" w:cs="Times New Roman"/>
          <w:sz w:val="22"/>
          <w:szCs w:val="22"/>
          <w:lang w:val="en-IN"/>
        </w:rPr>
        <w:t>The Court held that the unpublished nature of a work is a key, though not necessarily determinative, factor tending to negate a fair use defense. The Court also declined to expand fair use to create “what amounts to a public figure exception to copyright” in response to defendant’s First Amendment argument. Additionally, the Court held</w:t>
      </w:r>
      <w:r>
        <w:rPr>
          <w:rFonts w:ascii="Book Antiqua" w:eastAsia="Times New Roman" w:hAnsi="Book Antiqua" w:cs="Times New Roman"/>
          <w:sz w:val="22"/>
          <w:szCs w:val="22"/>
          <w:lang w:val="en-IN"/>
        </w:rPr>
        <w:t>:</w:t>
      </w:r>
    </w:p>
    <w:p w:rsidR="002A730F" w:rsidRDefault="002A730F" w:rsidP="002A730F">
      <w:pPr>
        <w:pStyle w:val="ListParagraph"/>
        <w:numPr>
          <w:ilvl w:val="0"/>
          <w:numId w:val="1"/>
        </w:numPr>
        <w:spacing w:line="276" w:lineRule="auto"/>
        <w:rPr>
          <w:rFonts w:ascii="Book Antiqua" w:eastAsia="Times New Roman" w:hAnsi="Book Antiqua" w:cs="Times New Roman"/>
          <w:sz w:val="22"/>
          <w:szCs w:val="22"/>
          <w:lang w:val="en-IN"/>
        </w:rPr>
      </w:pPr>
      <w:r>
        <w:rPr>
          <w:rFonts w:ascii="Book Antiqua" w:eastAsia="Times New Roman" w:hAnsi="Book Antiqua" w:cs="Times New Roman"/>
          <w:sz w:val="22"/>
          <w:szCs w:val="22"/>
          <w:lang w:val="en-IN"/>
        </w:rPr>
        <w:t>T</w:t>
      </w:r>
      <w:r w:rsidRPr="002A730F">
        <w:rPr>
          <w:rFonts w:ascii="Book Antiqua" w:eastAsia="Times New Roman" w:hAnsi="Book Antiqua" w:cs="Times New Roman"/>
          <w:sz w:val="22"/>
          <w:szCs w:val="22"/>
          <w:lang w:val="en-IN"/>
        </w:rPr>
        <w:t xml:space="preserve">hat although the excerpts constituted a quantitatively insubstantial portion of the memoirs, they represented “the heart of the book” and were qualitatively substantial in view of their expressive value and their key role in the infringing work. </w:t>
      </w:r>
    </w:p>
    <w:p w:rsidR="002A730F" w:rsidRPr="002A730F" w:rsidRDefault="002A730F" w:rsidP="002A730F">
      <w:pPr>
        <w:pStyle w:val="ListParagraph"/>
        <w:numPr>
          <w:ilvl w:val="0"/>
          <w:numId w:val="1"/>
        </w:numPr>
        <w:spacing w:line="276" w:lineRule="auto"/>
        <w:rPr>
          <w:rFonts w:ascii="Book Antiqua" w:eastAsia="Times New Roman" w:hAnsi="Book Antiqua" w:cs="Times New Roman"/>
          <w:sz w:val="22"/>
          <w:szCs w:val="22"/>
          <w:lang w:val="en-IN"/>
        </w:rPr>
      </w:pPr>
      <w:r>
        <w:rPr>
          <w:rFonts w:ascii="Book Antiqua" w:eastAsia="Times New Roman" w:hAnsi="Book Antiqua" w:cs="Times New Roman"/>
          <w:sz w:val="22"/>
          <w:szCs w:val="22"/>
          <w:lang w:val="en-IN"/>
        </w:rPr>
        <w:t>T</w:t>
      </w:r>
      <w:r w:rsidRPr="002A730F">
        <w:rPr>
          <w:rFonts w:ascii="Book Antiqua" w:eastAsia="Times New Roman" w:hAnsi="Book Antiqua" w:cs="Times New Roman"/>
          <w:sz w:val="22"/>
          <w:szCs w:val="22"/>
          <w:lang w:val="en-IN"/>
        </w:rPr>
        <w:t>hat the effect of the use upon the potential market for the copyrighted work was the “single most important element of fair use,”</w:t>
      </w:r>
      <w:r>
        <w:rPr>
          <w:rFonts w:ascii="Book Antiqua" w:eastAsia="Times New Roman" w:hAnsi="Book Antiqua" w:cs="Times New Roman"/>
          <w:sz w:val="22"/>
          <w:szCs w:val="22"/>
          <w:lang w:val="en-IN"/>
        </w:rPr>
        <w:t>.</w:t>
      </w:r>
      <w:r w:rsidRPr="002A730F">
        <w:rPr>
          <w:rFonts w:ascii="Calisto MT" w:eastAsia="ＭＳ Ｐゴシック" w:hAnsi="Calisto MT" w:cs="ＭＳ Ｐゴシック"/>
          <w:color w:val="511818"/>
          <w:kern w:val="24"/>
          <w:sz w:val="48"/>
          <w:szCs w:val="48"/>
        </w:rPr>
        <w:t xml:space="preserve"> </w:t>
      </w:r>
      <w:r w:rsidRPr="002A730F">
        <w:rPr>
          <w:rFonts w:ascii="Book Antiqua" w:eastAsia="Times New Roman" w:hAnsi="Book Antiqua" w:cs="Times New Roman"/>
          <w:sz w:val="22"/>
          <w:szCs w:val="22"/>
        </w:rPr>
        <w:t xml:space="preserve">Amount of material that is infringed is not as important as the impact of infringement </w:t>
      </w:r>
    </w:p>
    <w:p w:rsidR="004609F0" w:rsidRPr="002A730F" w:rsidRDefault="002A730F" w:rsidP="002A730F">
      <w:pPr>
        <w:pStyle w:val="ListParagraph"/>
        <w:numPr>
          <w:ilvl w:val="0"/>
          <w:numId w:val="1"/>
        </w:numPr>
        <w:spacing w:line="276" w:lineRule="auto"/>
        <w:rPr>
          <w:rFonts w:ascii="Book Antiqua" w:hAnsi="Book Antiqua"/>
          <w:sz w:val="22"/>
          <w:szCs w:val="22"/>
        </w:rPr>
      </w:pPr>
      <w:r w:rsidRPr="002A730F">
        <w:rPr>
          <w:rFonts w:ascii="Book Antiqua" w:eastAsia="Times New Roman" w:hAnsi="Book Antiqua" w:cs="Times New Roman"/>
          <w:sz w:val="22"/>
          <w:szCs w:val="22"/>
          <w:lang w:val="en-IN"/>
        </w:rPr>
        <w:t xml:space="preserve">That the defendant’s use “directly competed for a share of the market” and presented “clear-cut evidence of actual damage.” </w:t>
      </w:r>
    </w:p>
    <w:p w:rsidR="002A730F" w:rsidRDefault="002A730F" w:rsidP="002A730F">
      <w:pPr>
        <w:spacing w:line="276" w:lineRule="auto"/>
        <w:rPr>
          <w:rFonts w:ascii="Book Antiqua" w:hAnsi="Book Antiqua"/>
          <w:sz w:val="22"/>
          <w:szCs w:val="22"/>
        </w:rPr>
      </w:pPr>
    </w:p>
    <w:p w:rsidR="00000000" w:rsidRPr="002A730F" w:rsidRDefault="002A730F" w:rsidP="002A730F">
      <w:pPr>
        <w:spacing w:line="276" w:lineRule="auto"/>
        <w:rPr>
          <w:rFonts w:ascii="Book Antiqua" w:hAnsi="Book Antiqua"/>
          <w:sz w:val="22"/>
          <w:szCs w:val="22"/>
          <w:lang w:val="en-IN"/>
        </w:rPr>
      </w:pPr>
      <w:r w:rsidRPr="002A730F">
        <w:rPr>
          <w:rFonts w:ascii="Book Antiqua" w:hAnsi="Book Antiqua"/>
          <w:sz w:val="22"/>
          <w:szCs w:val="22"/>
        </w:rPr>
        <w:t>Conclusion:</w:t>
      </w:r>
      <w:r w:rsidRPr="002A730F">
        <w:rPr>
          <w:rFonts w:ascii="Calisto MT" w:eastAsia="ＭＳ Ｐゴシック" w:hAnsi="Calisto MT" w:cs="ＭＳ Ｐゴシック"/>
          <w:color w:val="511818"/>
          <w:kern w:val="24"/>
          <w:sz w:val="48"/>
          <w:szCs w:val="48"/>
        </w:rPr>
        <w:t xml:space="preserve"> </w:t>
      </w:r>
      <w:r w:rsidRPr="002A730F">
        <w:rPr>
          <w:rFonts w:ascii="Book Antiqua" w:hAnsi="Book Antiqua"/>
          <w:sz w:val="22"/>
          <w:szCs w:val="22"/>
        </w:rPr>
        <w:t>According to Section 107 of the US C</w:t>
      </w:r>
      <w:r>
        <w:rPr>
          <w:rFonts w:ascii="Book Antiqua" w:hAnsi="Book Antiqua"/>
          <w:sz w:val="22"/>
          <w:szCs w:val="22"/>
        </w:rPr>
        <w:t xml:space="preserve">opyright Act, 1976, there </w:t>
      </w:r>
      <w:proofErr w:type="gramStart"/>
      <w:r>
        <w:rPr>
          <w:rFonts w:ascii="Book Antiqua" w:hAnsi="Book Antiqua"/>
          <w:sz w:val="22"/>
          <w:szCs w:val="22"/>
        </w:rPr>
        <w:t xml:space="preserve">are  </w:t>
      </w:r>
      <w:r w:rsidRPr="002A730F">
        <w:rPr>
          <w:rFonts w:ascii="Book Antiqua" w:hAnsi="Book Antiqua"/>
          <w:sz w:val="22"/>
          <w:szCs w:val="22"/>
        </w:rPr>
        <w:t>four</w:t>
      </w:r>
      <w:proofErr w:type="gramEnd"/>
      <w:r w:rsidRPr="002A730F">
        <w:rPr>
          <w:rFonts w:ascii="Book Antiqua" w:hAnsi="Book Antiqua"/>
          <w:sz w:val="22"/>
          <w:szCs w:val="22"/>
        </w:rPr>
        <w:t xml:space="preserve"> elements for determining ‘fair use’: </w:t>
      </w:r>
    </w:p>
    <w:p w:rsidR="00000000" w:rsidRPr="002A730F" w:rsidRDefault="002A730F" w:rsidP="002A730F">
      <w:pPr>
        <w:numPr>
          <w:ilvl w:val="2"/>
          <w:numId w:val="3"/>
        </w:numPr>
        <w:spacing w:line="276" w:lineRule="auto"/>
        <w:rPr>
          <w:rFonts w:ascii="Book Antiqua" w:hAnsi="Book Antiqua"/>
          <w:sz w:val="22"/>
          <w:szCs w:val="22"/>
          <w:lang w:val="en-IN"/>
        </w:rPr>
      </w:pPr>
      <w:r w:rsidRPr="002A730F">
        <w:rPr>
          <w:rFonts w:ascii="Book Antiqua" w:hAnsi="Book Antiqua"/>
          <w:sz w:val="22"/>
          <w:szCs w:val="22"/>
        </w:rPr>
        <w:t xml:space="preserve">Purpose of use </w:t>
      </w:r>
    </w:p>
    <w:p w:rsidR="00000000" w:rsidRPr="002A730F" w:rsidRDefault="002A730F" w:rsidP="002A730F">
      <w:pPr>
        <w:numPr>
          <w:ilvl w:val="2"/>
          <w:numId w:val="3"/>
        </w:numPr>
        <w:spacing w:line="276" w:lineRule="auto"/>
        <w:rPr>
          <w:rFonts w:ascii="Book Antiqua" w:hAnsi="Book Antiqua"/>
          <w:sz w:val="22"/>
          <w:szCs w:val="22"/>
          <w:lang w:val="en-IN"/>
        </w:rPr>
      </w:pPr>
      <w:r w:rsidRPr="002A730F">
        <w:rPr>
          <w:rFonts w:ascii="Book Antiqua" w:hAnsi="Book Antiqua"/>
          <w:sz w:val="22"/>
          <w:szCs w:val="22"/>
        </w:rPr>
        <w:t xml:space="preserve">Nature of the copyright </w:t>
      </w:r>
    </w:p>
    <w:p w:rsidR="00000000" w:rsidRPr="002A730F" w:rsidRDefault="002A730F" w:rsidP="002A730F">
      <w:pPr>
        <w:numPr>
          <w:ilvl w:val="2"/>
          <w:numId w:val="3"/>
        </w:numPr>
        <w:spacing w:line="276" w:lineRule="auto"/>
        <w:rPr>
          <w:rFonts w:ascii="Book Antiqua" w:hAnsi="Book Antiqua"/>
          <w:sz w:val="22"/>
          <w:szCs w:val="22"/>
          <w:lang w:val="en-IN"/>
        </w:rPr>
      </w:pPr>
      <w:r w:rsidRPr="002A730F">
        <w:rPr>
          <w:rFonts w:ascii="Book Antiqua" w:hAnsi="Book Antiqua"/>
          <w:sz w:val="22"/>
          <w:szCs w:val="22"/>
        </w:rPr>
        <w:t xml:space="preserve">Amount &amp; substantiality of portion used </w:t>
      </w:r>
    </w:p>
    <w:p w:rsidR="00000000" w:rsidRPr="002A730F" w:rsidRDefault="002A730F" w:rsidP="002A730F">
      <w:pPr>
        <w:numPr>
          <w:ilvl w:val="2"/>
          <w:numId w:val="3"/>
        </w:numPr>
        <w:spacing w:line="276" w:lineRule="auto"/>
        <w:rPr>
          <w:rFonts w:ascii="Book Antiqua" w:hAnsi="Book Antiqua"/>
          <w:sz w:val="22"/>
          <w:szCs w:val="22"/>
          <w:lang w:val="en-IN"/>
        </w:rPr>
      </w:pPr>
      <w:r w:rsidRPr="002A730F">
        <w:rPr>
          <w:rFonts w:ascii="Book Antiqua" w:hAnsi="Book Antiqua"/>
          <w:sz w:val="22"/>
          <w:szCs w:val="22"/>
        </w:rPr>
        <w:t>Ef</w:t>
      </w:r>
      <w:r w:rsidRPr="002A730F">
        <w:rPr>
          <w:rFonts w:ascii="Book Antiqua" w:hAnsi="Book Antiqua"/>
          <w:sz w:val="22"/>
          <w:szCs w:val="22"/>
        </w:rPr>
        <w:t>fect on the market</w:t>
      </w:r>
      <w:r>
        <w:rPr>
          <w:rFonts w:ascii="Book Antiqua" w:hAnsi="Book Antiqua"/>
          <w:sz w:val="22"/>
          <w:szCs w:val="22"/>
        </w:rPr>
        <w:t xml:space="preserve"> place</w:t>
      </w:r>
      <w:bookmarkStart w:id="0" w:name="_GoBack"/>
      <w:bookmarkEnd w:id="0"/>
      <w:r w:rsidRPr="002A730F">
        <w:rPr>
          <w:rFonts w:ascii="Book Antiqua" w:hAnsi="Book Antiqua"/>
          <w:sz w:val="22"/>
          <w:szCs w:val="22"/>
        </w:rPr>
        <w:t xml:space="preserve"> </w:t>
      </w:r>
    </w:p>
    <w:p w:rsidR="002A730F" w:rsidRPr="002A730F" w:rsidRDefault="002A730F" w:rsidP="002A730F">
      <w:pPr>
        <w:spacing w:line="276" w:lineRule="auto"/>
        <w:rPr>
          <w:rFonts w:ascii="Book Antiqua" w:hAnsi="Book Antiqua"/>
          <w:b/>
          <w:sz w:val="22"/>
          <w:szCs w:val="22"/>
        </w:rPr>
      </w:pPr>
    </w:p>
    <w:sectPr w:rsidR="002A730F" w:rsidRPr="002A730F" w:rsidSect="004635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ook Antiqua">
    <w:panose1 w:val="020406020503050303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1B54"/>
    <w:multiLevelType w:val="hybridMultilevel"/>
    <w:tmpl w:val="3C18B8B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nsid w:val="3CB36636"/>
    <w:multiLevelType w:val="hybridMultilevel"/>
    <w:tmpl w:val="D2EEAF72"/>
    <w:lvl w:ilvl="0" w:tplc="3AD6ACD2">
      <w:start w:val="1"/>
      <w:numFmt w:val="bullet"/>
      <w:lvlText w:val=""/>
      <w:lvlJc w:val="left"/>
      <w:pPr>
        <w:tabs>
          <w:tab w:val="num" w:pos="720"/>
        </w:tabs>
        <w:ind w:left="720" w:hanging="360"/>
      </w:pPr>
      <w:rPr>
        <w:rFonts w:ascii="Wingdings" w:hAnsi="Wingdings" w:hint="default"/>
      </w:rPr>
    </w:lvl>
    <w:lvl w:ilvl="1" w:tplc="8CEE241E" w:tentative="1">
      <w:start w:val="1"/>
      <w:numFmt w:val="bullet"/>
      <w:lvlText w:val=""/>
      <w:lvlJc w:val="left"/>
      <w:pPr>
        <w:tabs>
          <w:tab w:val="num" w:pos="1440"/>
        </w:tabs>
        <w:ind w:left="1440" w:hanging="360"/>
      </w:pPr>
      <w:rPr>
        <w:rFonts w:ascii="Wingdings" w:hAnsi="Wingdings" w:hint="default"/>
      </w:rPr>
    </w:lvl>
    <w:lvl w:ilvl="2" w:tplc="FD1CE0EE" w:tentative="1">
      <w:start w:val="1"/>
      <w:numFmt w:val="bullet"/>
      <w:lvlText w:val=""/>
      <w:lvlJc w:val="left"/>
      <w:pPr>
        <w:tabs>
          <w:tab w:val="num" w:pos="2160"/>
        </w:tabs>
        <w:ind w:left="2160" w:hanging="360"/>
      </w:pPr>
      <w:rPr>
        <w:rFonts w:ascii="Wingdings" w:hAnsi="Wingdings" w:hint="default"/>
      </w:rPr>
    </w:lvl>
    <w:lvl w:ilvl="3" w:tplc="9648E482" w:tentative="1">
      <w:start w:val="1"/>
      <w:numFmt w:val="bullet"/>
      <w:lvlText w:val=""/>
      <w:lvlJc w:val="left"/>
      <w:pPr>
        <w:tabs>
          <w:tab w:val="num" w:pos="2880"/>
        </w:tabs>
        <w:ind w:left="2880" w:hanging="360"/>
      </w:pPr>
      <w:rPr>
        <w:rFonts w:ascii="Wingdings" w:hAnsi="Wingdings" w:hint="default"/>
      </w:rPr>
    </w:lvl>
    <w:lvl w:ilvl="4" w:tplc="F3F81DE4" w:tentative="1">
      <w:start w:val="1"/>
      <w:numFmt w:val="bullet"/>
      <w:lvlText w:val=""/>
      <w:lvlJc w:val="left"/>
      <w:pPr>
        <w:tabs>
          <w:tab w:val="num" w:pos="3600"/>
        </w:tabs>
        <w:ind w:left="3600" w:hanging="360"/>
      </w:pPr>
      <w:rPr>
        <w:rFonts w:ascii="Wingdings" w:hAnsi="Wingdings" w:hint="default"/>
      </w:rPr>
    </w:lvl>
    <w:lvl w:ilvl="5" w:tplc="FECC625A" w:tentative="1">
      <w:start w:val="1"/>
      <w:numFmt w:val="bullet"/>
      <w:lvlText w:val=""/>
      <w:lvlJc w:val="left"/>
      <w:pPr>
        <w:tabs>
          <w:tab w:val="num" w:pos="4320"/>
        </w:tabs>
        <w:ind w:left="4320" w:hanging="360"/>
      </w:pPr>
      <w:rPr>
        <w:rFonts w:ascii="Wingdings" w:hAnsi="Wingdings" w:hint="default"/>
      </w:rPr>
    </w:lvl>
    <w:lvl w:ilvl="6" w:tplc="A0264C7A" w:tentative="1">
      <w:start w:val="1"/>
      <w:numFmt w:val="bullet"/>
      <w:lvlText w:val=""/>
      <w:lvlJc w:val="left"/>
      <w:pPr>
        <w:tabs>
          <w:tab w:val="num" w:pos="5040"/>
        </w:tabs>
        <w:ind w:left="5040" w:hanging="360"/>
      </w:pPr>
      <w:rPr>
        <w:rFonts w:ascii="Wingdings" w:hAnsi="Wingdings" w:hint="default"/>
      </w:rPr>
    </w:lvl>
    <w:lvl w:ilvl="7" w:tplc="3B209294" w:tentative="1">
      <w:start w:val="1"/>
      <w:numFmt w:val="bullet"/>
      <w:lvlText w:val=""/>
      <w:lvlJc w:val="left"/>
      <w:pPr>
        <w:tabs>
          <w:tab w:val="num" w:pos="5760"/>
        </w:tabs>
        <w:ind w:left="5760" w:hanging="360"/>
      </w:pPr>
      <w:rPr>
        <w:rFonts w:ascii="Wingdings" w:hAnsi="Wingdings" w:hint="default"/>
      </w:rPr>
    </w:lvl>
    <w:lvl w:ilvl="8" w:tplc="9ABCB394" w:tentative="1">
      <w:start w:val="1"/>
      <w:numFmt w:val="bullet"/>
      <w:lvlText w:val=""/>
      <w:lvlJc w:val="left"/>
      <w:pPr>
        <w:tabs>
          <w:tab w:val="num" w:pos="6480"/>
        </w:tabs>
        <w:ind w:left="6480" w:hanging="360"/>
      </w:pPr>
      <w:rPr>
        <w:rFonts w:ascii="Wingdings" w:hAnsi="Wingdings" w:hint="default"/>
      </w:rPr>
    </w:lvl>
  </w:abstractNum>
  <w:abstractNum w:abstractNumId="2">
    <w:nsid w:val="6CBE0253"/>
    <w:multiLevelType w:val="hybridMultilevel"/>
    <w:tmpl w:val="A5A2C7D4"/>
    <w:lvl w:ilvl="0" w:tplc="92A09A9E">
      <w:start w:val="1"/>
      <w:numFmt w:val="bullet"/>
      <w:lvlText w:val=""/>
      <w:lvlJc w:val="left"/>
      <w:pPr>
        <w:tabs>
          <w:tab w:val="num" w:pos="720"/>
        </w:tabs>
        <w:ind w:left="720" w:hanging="360"/>
      </w:pPr>
      <w:rPr>
        <w:rFonts w:ascii="Wingdings" w:hAnsi="Wingdings" w:hint="default"/>
      </w:rPr>
    </w:lvl>
    <w:lvl w:ilvl="1" w:tplc="072A190C" w:tentative="1">
      <w:start w:val="1"/>
      <w:numFmt w:val="bullet"/>
      <w:lvlText w:val=""/>
      <w:lvlJc w:val="left"/>
      <w:pPr>
        <w:tabs>
          <w:tab w:val="num" w:pos="1440"/>
        </w:tabs>
        <w:ind w:left="1440" w:hanging="360"/>
      </w:pPr>
      <w:rPr>
        <w:rFonts w:ascii="Wingdings" w:hAnsi="Wingdings" w:hint="default"/>
      </w:rPr>
    </w:lvl>
    <w:lvl w:ilvl="2" w:tplc="54D862A4">
      <w:start w:val="544"/>
      <w:numFmt w:val="bullet"/>
      <w:lvlText w:val="•"/>
      <w:lvlJc w:val="left"/>
      <w:pPr>
        <w:tabs>
          <w:tab w:val="num" w:pos="2160"/>
        </w:tabs>
        <w:ind w:left="2160" w:hanging="360"/>
      </w:pPr>
      <w:rPr>
        <w:rFonts w:ascii="Arial" w:hAnsi="Arial" w:hint="default"/>
      </w:rPr>
    </w:lvl>
    <w:lvl w:ilvl="3" w:tplc="BDEC8380" w:tentative="1">
      <w:start w:val="1"/>
      <w:numFmt w:val="bullet"/>
      <w:lvlText w:val=""/>
      <w:lvlJc w:val="left"/>
      <w:pPr>
        <w:tabs>
          <w:tab w:val="num" w:pos="2880"/>
        </w:tabs>
        <w:ind w:left="2880" w:hanging="360"/>
      </w:pPr>
      <w:rPr>
        <w:rFonts w:ascii="Wingdings" w:hAnsi="Wingdings" w:hint="default"/>
      </w:rPr>
    </w:lvl>
    <w:lvl w:ilvl="4" w:tplc="55D6854E" w:tentative="1">
      <w:start w:val="1"/>
      <w:numFmt w:val="bullet"/>
      <w:lvlText w:val=""/>
      <w:lvlJc w:val="left"/>
      <w:pPr>
        <w:tabs>
          <w:tab w:val="num" w:pos="3600"/>
        </w:tabs>
        <w:ind w:left="3600" w:hanging="360"/>
      </w:pPr>
      <w:rPr>
        <w:rFonts w:ascii="Wingdings" w:hAnsi="Wingdings" w:hint="default"/>
      </w:rPr>
    </w:lvl>
    <w:lvl w:ilvl="5" w:tplc="9092D69E" w:tentative="1">
      <w:start w:val="1"/>
      <w:numFmt w:val="bullet"/>
      <w:lvlText w:val=""/>
      <w:lvlJc w:val="left"/>
      <w:pPr>
        <w:tabs>
          <w:tab w:val="num" w:pos="4320"/>
        </w:tabs>
        <w:ind w:left="4320" w:hanging="360"/>
      </w:pPr>
      <w:rPr>
        <w:rFonts w:ascii="Wingdings" w:hAnsi="Wingdings" w:hint="default"/>
      </w:rPr>
    </w:lvl>
    <w:lvl w:ilvl="6" w:tplc="E2AA49F4" w:tentative="1">
      <w:start w:val="1"/>
      <w:numFmt w:val="bullet"/>
      <w:lvlText w:val=""/>
      <w:lvlJc w:val="left"/>
      <w:pPr>
        <w:tabs>
          <w:tab w:val="num" w:pos="5040"/>
        </w:tabs>
        <w:ind w:left="5040" w:hanging="360"/>
      </w:pPr>
      <w:rPr>
        <w:rFonts w:ascii="Wingdings" w:hAnsi="Wingdings" w:hint="default"/>
      </w:rPr>
    </w:lvl>
    <w:lvl w:ilvl="7" w:tplc="783034CA" w:tentative="1">
      <w:start w:val="1"/>
      <w:numFmt w:val="bullet"/>
      <w:lvlText w:val=""/>
      <w:lvlJc w:val="left"/>
      <w:pPr>
        <w:tabs>
          <w:tab w:val="num" w:pos="5760"/>
        </w:tabs>
        <w:ind w:left="5760" w:hanging="360"/>
      </w:pPr>
      <w:rPr>
        <w:rFonts w:ascii="Wingdings" w:hAnsi="Wingdings" w:hint="default"/>
      </w:rPr>
    </w:lvl>
    <w:lvl w:ilvl="8" w:tplc="70F24D6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30F"/>
    <w:rsid w:val="002A730F"/>
    <w:rsid w:val="004609F0"/>
    <w:rsid w:val="00463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8201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3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011260">
      <w:bodyDiv w:val="1"/>
      <w:marLeft w:val="0"/>
      <w:marRight w:val="0"/>
      <w:marTop w:val="0"/>
      <w:marBottom w:val="0"/>
      <w:divBdr>
        <w:top w:val="none" w:sz="0" w:space="0" w:color="auto"/>
        <w:left w:val="none" w:sz="0" w:space="0" w:color="auto"/>
        <w:bottom w:val="none" w:sz="0" w:space="0" w:color="auto"/>
        <w:right w:val="none" w:sz="0" w:space="0" w:color="auto"/>
      </w:divBdr>
      <w:divsChild>
        <w:div w:id="869302125">
          <w:marLeft w:val="547"/>
          <w:marRight w:val="0"/>
          <w:marTop w:val="240"/>
          <w:marBottom w:val="0"/>
          <w:divBdr>
            <w:top w:val="none" w:sz="0" w:space="0" w:color="auto"/>
            <w:left w:val="none" w:sz="0" w:space="0" w:color="auto"/>
            <w:bottom w:val="none" w:sz="0" w:space="0" w:color="auto"/>
            <w:right w:val="none" w:sz="0" w:space="0" w:color="auto"/>
          </w:divBdr>
        </w:div>
      </w:divsChild>
    </w:div>
    <w:div w:id="752823242">
      <w:bodyDiv w:val="1"/>
      <w:marLeft w:val="0"/>
      <w:marRight w:val="0"/>
      <w:marTop w:val="0"/>
      <w:marBottom w:val="0"/>
      <w:divBdr>
        <w:top w:val="none" w:sz="0" w:space="0" w:color="auto"/>
        <w:left w:val="none" w:sz="0" w:space="0" w:color="auto"/>
        <w:bottom w:val="none" w:sz="0" w:space="0" w:color="auto"/>
        <w:right w:val="none" w:sz="0" w:space="0" w:color="auto"/>
      </w:divBdr>
    </w:div>
    <w:div w:id="1087530908">
      <w:bodyDiv w:val="1"/>
      <w:marLeft w:val="0"/>
      <w:marRight w:val="0"/>
      <w:marTop w:val="0"/>
      <w:marBottom w:val="0"/>
      <w:divBdr>
        <w:top w:val="none" w:sz="0" w:space="0" w:color="auto"/>
        <w:left w:val="none" w:sz="0" w:space="0" w:color="auto"/>
        <w:bottom w:val="none" w:sz="0" w:space="0" w:color="auto"/>
        <w:right w:val="none" w:sz="0" w:space="0" w:color="auto"/>
      </w:divBdr>
      <w:divsChild>
        <w:div w:id="702903002">
          <w:marLeft w:val="547"/>
          <w:marRight w:val="0"/>
          <w:marTop w:val="240"/>
          <w:marBottom w:val="0"/>
          <w:divBdr>
            <w:top w:val="none" w:sz="0" w:space="0" w:color="auto"/>
            <w:left w:val="none" w:sz="0" w:space="0" w:color="auto"/>
            <w:bottom w:val="none" w:sz="0" w:space="0" w:color="auto"/>
            <w:right w:val="none" w:sz="0" w:space="0" w:color="auto"/>
          </w:divBdr>
        </w:div>
      </w:divsChild>
    </w:div>
    <w:div w:id="2058434144">
      <w:bodyDiv w:val="1"/>
      <w:marLeft w:val="0"/>
      <w:marRight w:val="0"/>
      <w:marTop w:val="0"/>
      <w:marBottom w:val="0"/>
      <w:divBdr>
        <w:top w:val="none" w:sz="0" w:space="0" w:color="auto"/>
        <w:left w:val="none" w:sz="0" w:space="0" w:color="auto"/>
        <w:bottom w:val="none" w:sz="0" w:space="0" w:color="auto"/>
        <w:right w:val="none" w:sz="0" w:space="0" w:color="auto"/>
      </w:divBdr>
      <w:divsChild>
        <w:div w:id="1961106023">
          <w:marLeft w:val="547"/>
          <w:marRight w:val="0"/>
          <w:marTop w:val="240"/>
          <w:marBottom w:val="0"/>
          <w:divBdr>
            <w:top w:val="none" w:sz="0" w:space="0" w:color="auto"/>
            <w:left w:val="none" w:sz="0" w:space="0" w:color="auto"/>
            <w:bottom w:val="none" w:sz="0" w:space="0" w:color="auto"/>
            <w:right w:val="none" w:sz="0" w:space="0" w:color="auto"/>
          </w:divBdr>
        </w:div>
        <w:div w:id="1721396066">
          <w:marLeft w:val="1987"/>
          <w:marRight w:val="0"/>
          <w:marTop w:val="240"/>
          <w:marBottom w:val="0"/>
          <w:divBdr>
            <w:top w:val="none" w:sz="0" w:space="0" w:color="auto"/>
            <w:left w:val="none" w:sz="0" w:space="0" w:color="auto"/>
            <w:bottom w:val="none" w:sz="0" w:space="0" w:color="auto"/>
            <w:right w:val="none" w:sz="0" w:space="0" w:color="auto"/>
          </w:divBdr>
        </w:div>
        <w:div w:id="2083135230">
          <w:marLeft w:val="1987"/>
          <w:marRight w:val="0"/>
          <w:marTop w:val="240"/>
          <w:marBottom w:val="0"/>
          <w:divBdr>
            <w:top w:val="none" w:sz="0" w:space="0" w:color="auto"/>
            <w:left w:val="none" w:sz="0" w:space="0" w:color="auto"/>
            <w:bottom w:val="none" w:sz="0" w:space="0" w:color="auto"/>
            <w:right w:val="none" w:sz="0" w:space="0" w:color="auto"/>
          </w:divBdr>
        </w:div>
        <w:div w:id="468744698">
          <w:marLeft w:val="1987"/>
          <w:marRight w:val="0"/>
          <w:marTop w:val="240"/>
          <w:marBottom w:val="0"/>
          <w:divBdr>
            <w:top w:val="none" w:sz="0" w:space="0" w:color="auto"/>
            <w:left w:val="none" w:sz="0" w:space="0" w:color="auto"/>
            <w:bottom w:val="none" w:sz="0" w:space="0" w:color="auto"/>
            <w:right w:val="none" w:sz="0" w:space="0" w:color="auto"/>
          </w:divBdr>
        </w:div>
        <w:div w:id="2097555462">
          <w:marLeft w:val="1987"/>
          <w:marRight w:val="0"/>
          <w:marTop w:val="24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314</Words>
  <Characters>1795</Characters>
  <Application>Microsoft Macintosh Word</Application>
  <DocSecurity>0</DocSecurity>
  <Lines>14</Lines>
  <Paragraphs>4</Paragraphs>
  <ScaleCrop>false</ScaleCrop>
  <Company>HOme</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Mantis</dc:creator>
  <cp:keywords/>
  <dc:description/>
  <cp:lastModifiedBy>Lex Mantis</cp:lastModifiedBy>
  <cp:revision>1</cp:revision>
  <dcterms:created xsi:type="dcterms:W3CDTF">2019-05-02T06:04:00Z</dcterms:created>
  <dcterms:modified xsi:type="dcterms:W3CDTF">2019-05-02T06:11:00Z</dcterms:modified>
</cp:coreProperties>
</file>