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91A88">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391A88">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391A88">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391A88">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91A88">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391A88">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391A88">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391A88">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B017C" w:rsidRPr="00675953" w:rsidRDefault="006B017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6B017C" w:rsidRPr="00675953" w:rsidRDefault="006B017C"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6B017C" w:rsidRPr="00675953" w:rsidRDefault="006B017C"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B017C" w:rsidRPr="00675953" w:rsidRDefault="006B017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6B017C" w:rsidRPr="00675953" w:rsidRDefault="006B017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B017C" w:rsidRPr="00675953" w:rsidRDefault="006B017C"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B017C" w:rsidRDefault="006B017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6B017C" w:rsidRPr="00675953" w:rsidRDefault="006B017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B017C" w:rsidRDefault="006B017C"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6B017C" w:rsidRPr="00675953" w:rsidRDefault="006B017C"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395A09" w:rsidRDefault="006B017C" w:rsidP="004F2D70">
                            <w:pPr>
                              <w:jc w:val="center"/>
                              <w:rPr>
                                <w:color w:val="000000" w:themeColor="text1"/>
                              </w:rPr>
                            </w:pPr>
                            <w:r w:rsidRPr="00395A09">
                              <w:rPr>
                                <w:color w:val="000000" w:themeColor="text1"/>
                              </w:rPr>
                              <w:t>File Staging Area</w:t>
                            </w:r>
                          </w:p>
                          <w:p w:rsidR="006B017C" w:rsidRPr="00395A09" w:rsidRDefault="006B017C"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B017C" w:rsidRPr="00395A09" w:rsidRDefault="006B017C" w:rsidP="004F2D70">
                      <w:pPr>
                        <w:jc w:val="center"/>
                        <w:rPr>
                          <w:color w:val="000000" w:themeColor="text1"/>
                        </w:rPr>
                      </w:pPr>
                      <w:r w:rsidRPr="00395A09">
                        <w:rPr>
                          <w:color w:val="000000" w:themeColor="text1"/>
                        </w:rPr>
                        <w:t>File Staging Area</w:t>
                      </w:r>
                    </w:p>
                    <w:p w:rsidR="006B017C" w:rsidRPr="00395A09" w:rsidRDefault="006B017C"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395A09" w:rsidRDefault="006B017C" w:rsidP="004F2D70">
                            <w:pPr>
                              <w:jc w:val="center"/>
                              <w:rPr>
                                <w:color w:val="000000" w:themeColor="text1"/>
                              </w:rPr>
                            </w:pPr>
                            <w:r w:rsidRPr="00395A09">
                              <w:rPr>
                                <w:color w:val="000000" w:themeColor="text1"/>
                              </w:rPr>
                              <w:t>Load Processes</w:t>
                            </w:r>
                          </w:p>
                          <w:p w:rsidR="006B017C" w:rsidRPr="00395A09" w:rsidRDefault="006B017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B017C" w:rsidRPr="00395A09" w:rsidRDefault="006B017C" w:rsidP="004F2D70">
                      <w:pPr>
                        <w:jc w:val="center"/>
                        <w:rPr>
                          <w:color w:val="000000" w:themeColor="text1"/>
                        </w:rPr>
                      </w:pPr>
                      <w:r w:rsidRPr="00395A09">
                        <w:rPr>
                          <w:color w:val="000000" w:themeColor="text1"/>
                        </w:rPr>
                        <w:t>Load Processes</w:t>
                      </w:r>
                    </w:p>
                    <w:p w:rsidR="006B017C" w:rsidRPr="00395A09" w:rsidRDefault="006B017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59781C" w:rsidRDefault="006B017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6B017C" w:rsidRPr="0059781C" w:rsidRDefault="006B017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Default="006B017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6B017C" w:rsidRPr="007866B1" w:rsidRDefault="006B017C"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6B017C" w:rsidRDefault="006B017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6B017C" w:rsidRPr="007866B1" w:rsidRDefault="006B017C"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lastRenderedPageBreak/>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391A88"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DA33DE">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DA33D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lastRenderedPageBreak/>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proofErr w:type="gramStart"/>
            <w:r w:rsidRPr="00D26AF7">
              <w:rPr>
                <w:rFonts w:ascii="Calibri" w:hAnsi="Calibri"/>
                <w:i w:val="0"/>
                <w:color w:val="000000"/>
                <w:sz w:val="22"/>
                <w:szCs w:val="22"/>
              </w:rPr>
              <w:t>datetime</w:t>
            </w:r>
            <w:bookmarkEnd w:id="577"/>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lastRenderedPageBreak/>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lastRenderedPageBreak/>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bookmarkStart w:id="598" w:name="_GoBack"/>
            <w:bookmarkEnd w:id="598"/>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lastRenderedPageBreak/>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B031FF">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lastRenderedPageBreak/>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B031FF">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B031FF">
        <w:trPr>
          <w:trHeight w:val="710"/>
        </w:trPr>
        <w:tc>
          <w:tcPr>
            <w:tcW w:w="29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B031FF">
        <w:trPr>
          <w:trHeight w:val="710"/>
        </w:trPr>
        <w:tc>
          <w:tcPr>
            <w:tcW w:w="2917"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3E1871">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DA33DE">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DA33DE">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FD268B">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FD268B">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FD268B">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A88" w:rsidRDefault="00391A88">
      <w:r>
        <w:separator/>
      </w:r>
    </w:p>
  </w:endnote>
  <w:endnote w:type="continuationSeparator" w:id="0">
    <w:p w:rsidR="00391A88" w:rsidRDefault="0039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C" w:rsidRDefault="006B017C" w:rsidP="008A59F7">
    <w:pPr>
      <w:pStyle w:val="Footertext1"/>
      <w:rPr>
        <w:color w:val="FFFFFF"/>
      </w:rPr>
    </w:pPr>
    <w:r>
      <w:t>This document contains GDIT confidential and proprietary information,</w:t>
    </w:r>
  </w:p>
  <w:p w:rsidR="006B017C" w:rsidRDefault="006B017C"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6B017C" w:rsidRPr="000C47F2" w:rsidRDefault="006B017C" w:rsidP="008A59F7">
    <w:pPr>
      <w:pStyle w:val="Footer"/>
    </w:pPr>
    <w:r w:rsidRPr="000C47F2">
      <w:t xml:space="preserve">Revised </w:t>
    </w:r>
    <w:r>
      <w:fldChar w:fldCharType="begin"/>
    </w:r>
    <w:r>
      <w:instrText xml:space="preserve"> DATE \@ "M/d/yyyy" </w:instrText>
    </w:r>
    <w:r>
      <w:fldChar w:fldCharType="separate"/>
    </w:r>
    <w:r w:rsidR="00856ADA">
      <w:rPr>
        <w:noProof/>
      </w:rPr>
      <w:t>4/21/2015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856ADA">
      <w:rPr>
        <w:rStyle w:val="PageNumber"/>
        <w:noProof/>
      </w:rPr>
      <w:t>39</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856ADA">
      <w:rPr>
        <w:rStyle w:val="PageNumber"/>
        <w:noProof/>
      </w:rPr>
      <w:t>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A88" w:rsidRDefault="00391A88">
      <w:r>
        <w:separator/>
      </w:r>
    </w:p>
  </w:footnote>
  <w:footnote w:type="continuationSeparator" w:id="0">
    <w:p w:rsidR="00391A88" w:rsidRDefault="00391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C" w:rsidRPr="0068071B" w:rsidRDefault="006B017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B017C" w:rsidRDefault="006B017C" w:rsidP="008A59F7">
    <w:pPr>
      <w:pStyle w:val="Header"/>
    </w:pPr>
  </w:p>
  <w:p w:rsidR="006B017C" w:rsidRPr="008A59F7" w:rsidRDefault="006B017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A88"/>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6D5A"/>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A5FDF"/>
    <w:rsid w:val="00BB3439"/>
    <w:rsid w:val="00BB6F33"/>
    <w:rsid w:val="00BC0250"/>
    <w:rsid w:val="00BC08CC"/>
    <w:rsid w:val="00BD00A8"/>
    <w:rsid w:val="00BD2FAD"/>
    <w:rsid w:val="00BE0DB5"/>
    <w:rsid w:val="00BF48B7"/>
    <w:rsid w:val="00C01BA3"/>
    <w:rsid w:val="00C02E64"/>
    <w:rsid w:val="00C03D90"/>
    <w:rsid w:val="00C068CF"/>
    <w:rsid w:val="00C07721"/>
    <w:rsid w:val="00C0792C"/>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5DA7"/>
    <w:rsid w:val="00E66686"/>
    <w:rsid w:val="00E66809"/>
    <w:rsid w:val="00E67BB7"/>
    <w:rsid w:val="00E75A2E"/>
    <w:rsid w:val="00E75CC8"/>
    <w:rsid w:val="00E853E0"/>
    <w:rsid w:val="00E87C9C"/>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21714-560D-4C63-B00F-4D749C90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480</TotalTime>
  <Pages>42</Pages>
  <Words>7824</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52317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86</cp:revision>
  <cp:lastPrinted>2001-03-15T20:26:00Z</cp:lastPrinted>
  <dcterms:created xsi:type="dcterms:W3CDTF">2014-04-09T21:37:00Z</dcterms:created>
  <dcterms:modified xsi:type="dcterms:W3CDTF">2015-04-21T16:48:00Z</dcterms:modified>
</cp:coreProperties>
</file>