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7DAE9818"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451F0">
        <w:rPr>
          <w:rFonts w:ascii="Arial" w:hAnsi="Arial"/>
          <w:b/>
          <w:color w:val="000000" w:themeColor="text1"/>
          <w:sz w:val="28"/>
        </w:rPr>
        <w:t>1.8</w:t>
      </w:r>
      <w:bookmarkStart w:id="0" w:name="_GoBack"/>
      <w:bookmarkEnd w:id="0"/>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74C46930" w:rsidR="00167A2E" w:rsidRDefault="00167A2E" w:rsidP="00E0640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C1277D">
              <w:rPr>
                <w:rFonts w:ascii="Times New Roman (PCL6)" w:hAnsi="Times New Roman (PCL6)"/>
                <w:color w:val="000000" w:themeColor="text1"/>
                <w:sz w:val="20"/>
              </w:rPr>
              <w:t>8</w:t>
            </w:r>
            <w:r>
              <w:rPr>
                <w:rFonts w:ascii="Times New Roman (PCL6)" w:hAnsi="Times New Roman (PCL6)"/>
                <w:color w:val="000000" w:themeColor="text1"/>
                <w:sz w:val="20"/>
              </w:rPr>
              <w:t>/</w:t>
            </w:r>
            <w:r w:rsidR="00C1277D">
              <w:rPr>
                <w:rFonts w:ascii="Times New Roman (PCL6)" w:hAnsi="Times New Roman (PCL6)"/>
                <w:color w:val="000000" w:themeColor="text1"/>
                <w:sz w:val="20"/>
              </w:rPr>
              <w:t>0</w:t>
            </w:r>
            <w:r w:rsidR="00E0640E">
              <w:rPr>
                <w:rFonts w:ascii="Times New Roman (PCL6)" w:hAnsi="Times New Roman (PCL6)"/>
                <w:color w:val="000000" w:themeColor="text1"/>
                <w:sz w:val="20"/>
              </w:rPr>
              <w:t>7</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7CE43129" w:rsidR="00167A2E" w:rsidRDefault="00E0640E" w:rsidP="00E0640E">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P13263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FFM ARC job codes to submit</w:t>
            </w:r>
          </w:p>
        </w:tc>
      </w:tr>
    </w:tbl>
    <w:p w14:paraId="3ECE7BFD" w14:textId="1253A2B7" w:rsidR="008747B8" w:rsidRPr="00A525FE" w:rsidRDefault="00E0640E"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E0640E"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 xml:space="preserve">IV Layouts, Dashboard Permissions Criteria - Added new Submission Page section for those with permissions to submit </w:t>
            </w:r>
            <w:proofErr w:type="spellStart"/>
            <w:r>
              <w:rPr>
                <w:szCs w:val="24"/>
              </w:rPr>
              <w:t>eCoaching</w:t>
            </w:r>
            <w:proofErr w:type="spellEnd"/>
            <w:r>
              <w:rPr>
                <w:szCs w:val="24"/>
              </w:rPr>
              <w:t xml:space="preserve">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bl>
    <w:p w14:paraId="1A51E9F4" w14:textId="49D0F126"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952E33">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952E33">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952E33">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952E33">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952E33">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952E33">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952E33">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952E33">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79289843"/>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79289844"/>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52F11D75"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570668">
              <w:t>Other: Specify reason under Question 4 below reason under Question 4 below</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Radio/Drop Down List </w:t>
            </w:r>
            <w:r>
              <w:rPr>
                <w:rFonts w:ascii="Verdana" w:hAnsi="Verdana" w:cstheme="minorHAnsi"/>
                <w:color w:val="000000" w:themeColor="text1"/>
                <w:sz w:val="16"/>
                <w:szCs w:val="16"/>
              </w:rPr>
              <w:lastRenderedPageBreak/>
              <w:t>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Logs </w:t>
            </w:r>
            <w:r w:rsidRPr="00A43661">
              <w:rPr>
                <w:rFonts w:ascii="Verdana" w:hAnsi="Verdana" w:cstheme="minorHAnsi"/>
                <w:color w:val="000000" w:themeColor="text1"/>
                <w:sz w:val="16"/>
                <w:szCs w:val="16"/>
              </w:rPr>
              <w:lastRenderedPageBreak/>
              <w:t>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3" w:name="_Toc379289845"/>
                        <w:r w:rsidRPr="00A43661">
                          <w:rPr>
                            <w:color w:val="000000" w:themeColor="text1"/>
                          </w:rPr>
                          <w:lastRenderedPageBreak/>
                          <w:t>Program Requirements</w:t>
                        </w:r>
                        <w:bookmarkEnd w:id="3"/>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4" w:name="_Toc312151143"/>
                        <w:bookmarkStart w:id="5" w:name="_Toc335259518"/>
                        <w:bookmarkStart w:id="6" w:name="_Toc340500953"/>
                        <w:bookmarkStart w:id="7"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4"/>
                        <w:bookmarkEnd w:id="5"/>
                        <w:bookmarkEnd w:id="6"/>
                        <w:bookmarkEnd w:id="7"/>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8" w:name="_Toc312151144"/>
                        <w:bookmarkStart w:id="9" w:name="_Toc335259519"/>
                        <w:bookmarkStart w:id="10" w:name="_Toc340500954"/>
                        <w:bookmarkStart w:id="11"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8"/>
                        <w:bookmarkEnd w:id="9"/>
                        <w:bookmarkEnd w:id="10"/>
                        <w:bookmarkEnd w:id="11"/>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2" w:name="_Toc312151145"/>
                        <w:bookmarkStart w:id="13" w:name="_Toc335259520"/>
                        <w:bookmarkStart w:id="14" w:name="_Toc340500955"/>
                        <w:bookmarkStart w:id="15"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2"/>
                        <w:bookmarkEnd w:id="13"/>
                        <w:bookmarkEnd w:id="14"/>
                        <w:bookmarkEnd w:id="15"/>
                      </w:p>
                      <w:p w14:paraId="1EB473EA" w14:textId="77777777" w:rsidR="00EC5B58" w:rsidRDefault="00EC5B58" w:rsidP="00EC5B58">
                        <w:pPr>
                          <w:pStyle w:val="Heading2"/>
                          <w:rPr>
                            <w:rFonts w:asciiTheme="minorHAnsi" w:hAnsiTheme="minorHAnsi"/>
                            <w:b w:val="0"/>
                            <w:color w:val="000000" w:themeColor="text1"/>
                            <w:sz w:val="20"/>
                            <w:szCs w:val="20"/>
                          </w:rPr>
                        </w:pPr>
                        <w:bookmarkStart w:id="16" w:name="_Toc312151147"/>
                        <w:bookmarkStart w:id="17" w:name="_Toc335259521"/>
                        <w:bookmarkStart w:id="18" w:name="_Toc340500956"/>
                        <w:bookmarkStart w:id="19"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6"/>
                        <w:bookmarkEnd w:id="17"/>
                        <w:bookmarkEnd w:id="18"/>
                        <w:bookmarkEnd w:id="19"/>
                      </w:p>
                      <w:p w14:paraId="67DCB016" w14:textId="2E75D9CE"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20" w:name="_Toc312151149"/>
                        <w:bookmarkStart w:id="21" w:name="_Toc335259522"/>
                        <w:bookmarkStart w:id="22" w:name="_Toc340500957"/>
                        <w:bookmarkStart w:id="23"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20"/>
                        <w:bookmarkEnd w:id="21"/>
                        <w:bookmarkEnd w:id="22"/>
                        <w:bookmarkEnd w:id="23"/>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4" w:name="_Toc379289851"/>
      <w:r>
        <w:rPr>
          <w:color w:val="000000" w:themeColor="text1"/>
        </w:rPr>
        <w:lastRenderedPageBreak/>
        <w:t>Layouts</w:t>
      </w:r>
      <w:bookmarkEnd w:id="24"/>
    </w:p>
    <w:p w14:paraId="5C675531" w14:textId="77777777" w:rsidR="00A16E81" w:rsidRDefault="00A16E81" w:rsidP="00CD48EC">
      <w:pPr>
        <w:sectPr w:rsidR="00A16E81" w:rsidSect="00B2705F">
          <w:footerReference w:type="default" r:id="rId15"/>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lastRenderedPageBreak/>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2131DF11" w:rsidR="00167A2E" w:rsidRDefault="00167A2E" w:rsidP="0015636F">
      <w:pPr>
        <w:pStyle w:val="NoSpacing"/>
        <w:numPr>
          <w:ilvl w:val="0"/>
          <w:numId w:val="23"/>
        </w:numPr>
        <w:rPr>
          <w:color w:val="1F497D"/>
          <w:sz w:val="16"/>
          <w:szCs w:val="16"/>
        </w:rPr>
      </w:pPr>
      <w:r>
        <w:rPr>
          <w:color w:val="1F497D"/>
          <w:sz w:val="16"/>
          <w:szCs w:val="16"/>
        </w:rPr>
        <w:t>ETS</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lastRenderedPageBreak/>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lastRenderedPageBreak/>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lastRenderedPageBreak/>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lastRenderedPageBreak/>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38788C7E"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CSR level users – WACS0</w:t>
      </w:r>
      <w:r>
        <w:rPr>
          <w:rFonts w:cs="Arial"/>
          <w:sz w:val="20"/>
          <w:szCs w:val="20"/>
        </w:rPr>
        <w:t xml:space="preserve">1 and WACS03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740FB886" w14:textId="67878796"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w:t>
      </w:r>
      <w:proofErr w:type="spellStart"/>
      <w:r w:rsidRPr="006E5169">
        <w:rPr>
          <w:rFonts w:cs="Arial"/>
          <w:sz w:val="20"/>
          <w:szCs w:val="20"/>
        </w:rPr>
        <w:t>EC.Historical_Dashboard_ACL</w:t>
      </w:r>
      <w:proofErr w:type="spellEnd"/>
      <w:r w:rsidRPr="006E5169">
        <w:rPr>
          <w:rFonts w:cs="Arial"/>
          <w:sz w:val="20"/>
          <w:szCs w:val="20"/>
        </w:rPr>
        <w:t>” table as an ARC CSR (Role = “ARC”) – WACS03</w:t>
      </w:r>
      <w:r w:rsidR="00E0640E">
        <w:rPr>
          <w:rFonts w:cs="Arial"/>
          <w:sz w:val="20"/>
          <w:szCs w:val="20"/>
        </w:rPr>
        <w:t>, WACS01</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77777777"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lastRenderedPageBreak/>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t>CSR Dashboard</w:t>
      </w:r>
      <w:bookmarkEnd w:id="25"/>
      <w:bookmarkEnd w:id="26"/>
      <w:bookmarkEnd w:id="27"/>
    </w:p>
    <w:p w14:paraId="49E1A5C0" w14:textId="76A8B149"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8"/>
      <w:bookmarkEnd w:id="29"/>
      <w:bookmarkEnd w:id="30"/>
    </w:p>
    <w:p w14:paraId="6CEFF243" w14:textId="2B0855C6"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6E104A36"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5"/>
      <w:bookmarkEnd w:id="36"/>
      <w:bookmarkEnd w:id="37"/>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lastRenderedPageBreak/>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2204B57D" w14:textId="13F9431E" w:rsidR="00CE074E" w:rsidRDefault="00CE074E" w:rsidP="00CE074E">
            <w:pPr>
              <w:spacing w:before="60" w:after="60"/>
              <w:rPr>
                <w:rFonts w:cstheme="minorHAnsi"/>
                <w:sz w:val="16"/>
                <w:szCs w:val="16"/>
              </w:rPr>
            </w:pPr>
            <w:r>
              <w:rPr>
                <w:rFonts w:cstheme="minorHAnsi"/>
                <w:sz w:val="16"/>
                <w:szCs w:val="16"/>
              </w:rPr>
              <w:t>Date of Event:</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507B743F" w:rsidR="00CE074E" w:rsidRDefault="002F6CA3" w:rsidP="002F6CA3">
            <w:pPr>
              <w:spacing w:before="60" w:after="60"/>
              <w:rPr>
                <w:rFonts w:cstheme="minorHAnsi"/>
                <w:sz w:val="16"/>
                <w:szCs w:val="16"/>
              </w:rPr>
            </w:pPr>
            <w:r>
              <w:rPr>
                <w:rFonts w:cstheme="minorHAnsi"/>
                <w:sz w:val="16"/>
                <w:szCs w:val="16"/>
              </w:rPr>
              <w:t>Event Date</w:t>
            </w:r>
          </w:p>
        </w:tc>
      </w:tr>
      <w:tr w:rsidR="00CE074E" w:rsidRPr="002D7D35" w14:paraId="68C8BFD9" w14:textId="77777777" w:rsidTr="002F6CA3">
        <w:tc>
          <w:tcPr>
            <w:tcW w:w="307" w:type="dxa"/>
            <w:shd w:val="clear" w:color="auto" w:fill="F2F2F2" w:themeFill="background1" w:themeFillShade="F2"/>
          </w:tcPr>
          <w:p w14:paraId="2AFD2BBF" w14:textId="7874C50A"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5CE71C7A" w:rsidR="00CE074E" w:rsidRPr="008D09FE" w:rsidRDefault="00BB1FE6" w:rsidP="008D09FE">
      <w:pPr>
        <w:rPr>
          <w:sz w:val="20"/>
          <w:szCs w:val="20"/>
        </w:rPr>
      </w:pPr>
      <w:r>
        <w:rPr>
          <w:noProof/>
          <w:sz w:val="20"/>
          <w:szCs w:val="20"/>
        </w:rPr>
        <w:drawing>
          <wp:inline distT="0" distB="0" distL="0" distR="0" wp14:anchorId="254981A8" wp14:editId="493A4EA0">
            <wp:extent cx="2047875"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 xml:space="preserve">Form </w:t>
            </w:r>
            <w:r>
              <w:rPr>
                <w:rFonts w:cstheme="minorHAnsi"/>
                <w:b/>
                <w:color w:val="FFFFFF" w:themeColor="background1"/>
                <w:sz w:val="18"/>
                <w:szCs w:val="16"/>
              </w:rPr>
              <w:lastRenderedPageBreak/>
              <w:t>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lastRenderedPageBreak/>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After you have reviewed and coached an email will go to </w:t>
            </w:r>
            <w:proofErr w:type="gramStart"/>
            <w:r w:rsidR="00A75045">
              <w:rPr>
                <w:rFonts w:cstheme="minorHAnsi"/>
                <w:sz w:val="16"/>
                <w:szCs w:val="16"/>
              </w:rPr>
              <w:t>“</w:t>
            </w:r>
            <w:r w:rsidRPr="003E2144">
              <w:rPr>
                <w:rFonts w:cstheme="minorHAnsi"/>
                <w:sz w:val="16"/>
                <w:szCs w:val="16"/>
              </w:rPr>
              <w:t xml:space="preserve"> &amp;</w:t>
            </w:r>
            <w:proofErr w:type="gramEnd"/>
            <w:r w:rsidRPr="003E2144">
              <w:rPr>
                <w:rFonts w:cstheme="minorHAnsi"/>
                <w:sz w:val="16"/>
                <w:szCs w:val="16"/>
              </w:rPr>
              <w:t xml:space="preserve">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Pending CSR Revie</w:t>
      </w:r>
      <w:bookmarkEnd w:id="49"/>
      <w:bookmarkEnd w:id="50"/>
      <w:r w:rsidR="003A0570">
        <w:rPr>
          <w:rFonts w:asciiTheme="minorHAnsi" w:hAnsiTheme="minorHAnsi" w:cstheme="minorHAnsi"/>
          <w:sz w:val="22"/>
        </w:rPr>
        <w:t>w</w:t>
      </w:r>
      <w:bookmarkEnd w:id="51"/>
    </w:p>
    <w:p w14:paraId="13AAE690"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Pending CSR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77777777"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E0640E" w:rsidP="006352D3">
            <w:pPr>
              <w:pStyle w:val="ListParagraph"/>
              <w:spacing w:before="60" w:after="60"/>
              <w:ind w:left="294" w:right="90"/>
              <w:rPr>
                <w:rFonts w:cstheme="minorHAnsi"/>
                <w:sz w:val="16"/>
                <w:szCs w:val="16"/>
              </w:rPr>
            </w:pPr>
            <w:hyperlink r:id="rId2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CSR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6"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After you have reviewed and coached an email will go to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7"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hyperlink r:id="rId28"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BCC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 xml:space="preserve">Status of the evaluation (Pending CSR </w:t>
            </w:r>
            <w:proofErr w:type="spellStart"/>
            <w:r w:rsidRPr="002F7978">
              <w:rPr>
                <w:sz w:val="20"/>
                <w:szCs w:val="20"/>
              </w:rPr>
              <w:t>Review,Pending</w:t>
            </w:r>
            <w:proofErr w:type="spellEnd"/>
            <w:r w:rsidRPr="002F7978">
              <w:rPr>
                <w:sz w:val="20"/>
                <w:szCs w:val="20"/>
              </w:rPr>
              <w:t xml:space="preserve"> Manager </w:t>
            </w:r>
            <w:proofErr w:type="spellStart"/>
            <w:r w:rsidRPr="002F7978">
              <w:rPr>
                <w:sz w:val="20"/>
                <w:szCs w:val="20"/>
              </w:rPr>
              <w:t>Review,Pending</w:t>
            </w:r>
            <w:proofErr w:type="spellEnd"/>
            <w:r w:rsidRPr="002F7978">
              <w:rPr>
                <w:sz w:val="20"/>
                <w:szCs w:val="20"/>
              </w:rPr>
              <w:t xml:space="preserve">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27A379C" w:rsidR="00F637A9" w:rsidRDefault="00F637A9" w:rsidP="00F637A9">
      <w:pPr>
        <w:rPr>
          <w:sz w:val="20"/>
          <w:szCs w:val="20"/>
        </w:rPr>
      </w:pPr>
      <w:r w:rsidRPr="002F7978">
        <w:rPr>
          <w:sz w:val="20"/>
          <w:szCs w:val="20"/>
        </w:rPr>
        <w:t>IQS Lime Su</w:t>
      </w:r>
      <w:r w:rsidR="00112683">
        <w:rPr>
          <w:sz w:val="20"/>
          <w:szCs w:val="20"/>
        </w:rPr>
        <w:t xml:space="preserve">rvey is the source system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E0640E" w:rsidP="00A66045">
            <w:pPr>
              <w:spacing w:after="0" w:line="240" w:lineRule="auto"/>
              <w:rPr>
                <w:rFonts w:ascii="Calibri" w:eastAsia="Times New Roman" w:hAnsi="Calibri" w:cs="Times New Roman"/>
                <w:color w:val="0000FF"/>
                <w:u w:val="single"/>
              </w:rPr>
            </w:pPr>
            <w:hyperlink r:id="rId32"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2705F">
      <w:headerReference w:type="default" r:id="rId36"/>
      <w:footerReference w:type="default" r:id="rId3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6A894" w14:textId="77777777" w:rsidR="003B5192" w:rsidRDefault="003B5192" w:rsidP="0058110C">
      <w:pPr>
        <w:spacing w:after="0" w:line="240" w:lineRule="auto"/>
      </w:pPr>
      <w:r>
        <w:separator/>
      </w:r>
    </w:p>
  </w:endnote>
  <w:endnote w:type="continuationSeparator" w:id="0">
    <w:p w14:paraId="5AA3AA6F" w14:textId="77777777" w:rsidR="003B5192" w:rsidRDefault="003B5192"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E0640E" w:rsidRDefault="00E0640E"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E0640E" w:rsidRDefault="00E0640E"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B451F0">
      <w:rPr>
        <w:rStyle w:val="PageNumber"/>
        <w:noProof/>
        <w:sz w:val="18"/>
        <w:szCs w:val="18"/>
      </w:rPr>
      <w:t>1</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B451F0">
      <w:rPr>
        <w:rStyle w:val="PageNumber"/>
        <w:noProof/>
        <w:sz w:val="18"/>
        <w:szCs w:val="18"/>
      </w:rPr>
      <w:t>64</w:t>
    </w:r>
    <w:r w:rsidRPr="005C11DA">
      <w:rPr>
        <w:rStyle w:val="PageNumber"/>
        <w:sz w:val="18"/>
        <w:szCs w:val="18"/>
      </w:rPr>
      <w:fldChar w:fldCharType="end"/>
    </w:r>
    <w:r>
      <w:rPr>
        <w:sz w:val="18"/>
      </w:rPr>
      <w:t xml:space="preserve">                                                                                                                           </w:t>
    </w:r>
  </w:p>
  <w:p w14:paraId="3B328916" w14:textId="77777777" w:rsidR="00E0640E" w:rsidRDefault="00E0640E"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E0640E" w:rsidRDefault="00E0640E"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451F0">
              <w:rPr>
                <w:b/>
                <w:noProof/>
              </w:rPr>
              <w:t>64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451F0">
              <w:rPr>
                <w:b/>
                <w:noProof/>
              </w:rPr>
              <w:t>64</w:t>
            </w:r>
            <w:r>
              <w:rPr>
                <w:b/>
                <w:sz w:val="24"/>
                <w:szCs w:val="24"/>
              </w:rPr>
              <w:fldChar w:fldCharType="end"/>
            </w:r>
          </w:p>
        </w:sdtContent>
      </w:sdt>
    </w:sdtContent>
  </w:sdt>
  <w:p w14:paraId="6E63AB7B" w14:textId="77777777" w:rsidR="00E0640E" w:rsidRDefault="00E064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6C42D" w14:textId="77777777" w:rsidR="003B5192" w:rsidRDefault="003B5192" w:rsidP="0058110C">
      <w:pPr>
        <w:spacing w:after="0" w:line="240" w:lineRule="auto"/>
      </w:pPr>
      <w:r>
        <w:separator/>
      </w:r>
    </w:p>
  </w:footnote>
  <w:footnote w:type="continuationSeparator" w:id="0">
    <w:p w14:paraId="31FA7605" w14:textId="77777777" w:rsidR="003B5192" w:rsidRDefault="003B5192"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E0640E" w:rsidRPr="004913FD" w:rsidRDefault="00E0640E"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E0640E" w:rsidRPr="00B8788F" w:rsidRDefault="00E0640E">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Pr>
        <w:rFonts w:ascii="Arial" w:hAnsi="Arial" w:cs="Arial"/>
        <w:color w:val="0569B3"/>
        <w:sz w:val="20"/>
        <w:szCs w:val="20"/>
      </w:rPr>
      <w:t>eCoaching</w:t>
    </w:r>
    <w:proofErr w:type="spellEnd"/>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7E42"/>
    <w:rsid w:val="000434F0"/>
    <w:rsid w:val="0005059A"/>
    <w:rsid w:val="000518A3"/>
    <w:rsid w:val="0005285B"/>
    <w:rsid w:val="0005498B"/>
    <w:rsid w:val="0005698A"/>
    <w:rsid w:val="00065CF4"/>
    <w:rsid w:val="00065FD7"/>
    <w:rsid w:val="00086851"/>
    <w:rsid w:val="00097DF8"/>
    <w:rsid w:val="000A38FB"/>
    <w:rsid w:val="000A7CFA"/>
    <w:rsid w:val="000B6B98"/>
    <w:rsid w:val="000B7013"/>
    <w:rsid w:val="000B7EA2"/>
    <w:rsid w:val="000C0F71"/>
    <w:rsid w:val="000C18FA"/>
    <w:rsid w:val="000C236E"/>
    <w:rsid w:val="000C3DFF"/>
    <w:rsid w:val="000C5DC1"/>
    <w:rsid w:val="000D1E52"/>
    <w:rsid w:val="000D6BA7"/>
    <w:rsid w:val="000D6E73"/>
    <w:rsid w:val="000D75B3"/>
    <w:rsid w:val="000E1025"/>
    <w:rsid w:val="000F6481"/>
    <w:rsid w:val="00101800"/>
    <w:rsid w:val="00104CCD"/>
    <w:rsid w:val="00105B5C"/>
    <w:rsid w:val="00110C92"/>
    <w:rsid w:val="00112683"/>
    <w:rsid w:val="00113040"/>
    <w:rsid w:val="00113A4E"/>
    <w:rsid w:val="00114A93"/>
    <w:rsid w:val="001157A6"/>
    <w:rsid w:val="00117DB0"/>
    <w:rsid w:val="00123583"/>
    <w:rsid w:val="00124971"/>
    <w:rsid w:val="00124C13"/>
    <w:rsid w:val="001300BF"/>
    <w:rsid w:val="00132CAD"/>
    <w:rsid w:val="00136A7D"/>
    <w:rsid w:val="0014162C"/>
    <w:rsid w:val="00141D07"/>
    <w:rsid w:val="00144226"/>
    <w:rsid w:val="00146CB2"/>
    <w:rsid w:val="001519B5"/>
    <w:rsid w:val="0015636F"/>
    <w:rsid w:val="00167A2E"/>
    <w:rsid w:val="00180DB8"/>
    <w:rsid w:val="001853F8"/>
    <w:rsid w:val="00185963"/>
    <w:rsid w:val="0019122F"/>
    <w:rsid w:val="00194B06"/>
    <w:rsid w:val="001A1759"/>
    <w:rsid w:val="001A407E"/>
    <w:rsid w:val="001B1EAA"/>
    <w:rsid w:val="001B3280"/>
    <w:rsid w:val="001B44FD"/>
    <w:rsid w:val="001C0E35"/>
    <w:rsid w:val="001C2953"/>
    <w:rsid w:val="001C3C1E"/>
    <w:rsid w:val="001C57B8"/>
    <w:rsid w:val="001C5F1C"/>
    <w:rsid w:val="001D25FE"/>
    <w:rsid w:val="001D69D1"/>
    <w:rsid w:val="001D6ACE"/>
    <w:rsid w:val="001E0BFE"/>
    <w:rsid w:val="001E18D3"/>
    <w:rsid w:val="001E2414"/>
    <w:rsid w:val="001E538A"/>
    <w:rsid w:val="001E5922"/>
    <w:rsid w:val="001F058D"/>
    <w:rsid w:val="001F26B1"/>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20CC"/>
    <w:rsid w:val="002C6A1E"/>
    <w:rsid w:val="002D2953"/>
    <w:rsid w:val="002E74C4"/>
    <w:rsid w:val="002F28BD"/>
    <w:rsid w:val="002F6CA3"/>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5B29"/>
    <w:rsid w:val="00507B7E"/>
    <w:rsid w:val="00512235"/>
    <w:rsid w:val="00520D31"/>
    <w:rsid w:val="005215D0"/>
    <w:rsid w:val="00542194"/>
    <w:rsid w:val="00557A74"/>
    <w:rsid w:val="00563E76"/>
    <w:rsid w:val="00570668"/>
    <w:rsid w:val="0058110C"/>
    <w:rsid w:val="00581DAF"/>
    <w:rsid w:val="00585961"/>
    <w:rsid w:val="00594626"/>
    <w:rsid w:val="00597DA7"/>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289C"/>
    <w:rsid w:val="005F433B"/>
    <w:rsid w:val="005F47A7"/>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1F9A"/>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4E82"/>
    <w:rsid w:val="006A67C6"/>
    <w:rsid w:val="006B2685"/>
    <w:rsid w:val="006B6C54"/>
    <w:rsid w:val="006C128D"/>
    <w:rsid w:val="006E1B63"/>
    <w:rsid w:val="006E5169"/>
    <w:rsid w:val="006E7DC9"/>
    <w:rsid w:val="00700685"/>
    <w:rsid w:val="00700E1F"/>
    <w:rsid w:val="00701970"/>
    <w:rsid w:val="00701D0A"/>
    <w:rsid w:val="00716D46"/>
    <w:rsid w:val="0072257E"/>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325F"/>
    <w:rsid w:val="00817F47"/>
    <w:rsid w:val="00824E37"/>
    <w:rsid w:val="00831A9E"/>
    <w:rsid w:val="00834195"/>
    <w:rsid w:val="0083555B"/>
    <w:rsid w:val="00835E56"/>
    <w:rsid w:val="008367EB"/>
    <w:rsid w:val="008418BE"/>
    <w:rsid w:val="00841DFD"/>
    <w:rsid w:val="00851128"/>
    <w:rsid w:val="00854AFB"/>
    <w:rsid w:val="00855F0A"/>
    <w:rsid w:val="008560BF"/>
    <w:rsid w:val="00860473"/>
    <w:rsid w:val="00866A09"/>
    <w:rsid w:val="008747B8"/>
    <w:rsid w:val="00877788"/>
    <w:rsid w:val="00890688"/>
    <w:rsid w:val="008A307D"/>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2E33"/>
    <w:rsid w:val="009542BF"/>
    <w:rsid w:val="009549A6"/>
    <w:rsid w:val="00956EB5"/>
    <w:rsid w:val="00960609"/>
    <w:rsid w:val="00960B1C"/>
    <w:rsid w:val="009719CF"/>
    <w:rsid w:val="00973C17"/>
    <w:rsid w:val="00975178"/>
    <w:rsid w:val="00986131"/>
    <w:rsid w:val="00987A58"/>
    <w:rsid w:val="00991A2A"/>
    <w:rsid w:val="009921C0"/>
    <w:rsid w:val="00992F27"/>
    <w:rsid w:val="00996082"/>
    <w:rsid w:val="009A291F"/>
    <w:rsid w:val="009A3B47"/>
    <w:rsid w:val="009A4414"/>
    <w:rsid w:val="009B20A0"/>
    <w:rsid w:val="009B4586"/>
    <w:rsid w:val="009B46F2"/>
    <w:rsid w:val="009D018D"/>
    <w:rsid w:val="009D3866"/>
    <w:rsid w:val="009D4767"/>
    <w:rsid w:val="009D5A28"/>
    <w:rsid w:val="009D6620"/>
    <w:rsid w:val="009E0F39"/>
    <w:rsid w:val="009E19F6"/>
    <w:rsid w:val="009F6317"/>
    <w:rsid w:val="00A0108D"/>
    <w:rsid w:val="00A0166F"/>
    <w:rsid w:val="00A032FD"/>
    <w:rsid w:val="00A03BDB"/>
    <w:rsid w:val="00A06562"/>
    <w:rsid w:val="00A069EC"/>
    <w:rsid w:val="00A126CC"/>
    <w:rsid w:val="00A15493"/>
    <w:rsid w:val="00A16554"/>
    <w:rsid w:val="00A16E81"/>
    <w:rsid w:val="00A22A7B"/>
    <w:rsid w:val="00A2793A"/>
    <w:rsid w:val="00A30126"/>
    <w:rsid w:val="00A32376"/>
    <w:rsid w:val="00A351D1"/>
    <w:rsid w:val="00A35851"/>
    <w:rsid w:val="00A4215F"/>
    <w:rsid w:val="00A43661"/>
    <w:rsid w:val="00A525FE"/>
    <w:rsid w:val="00A55BB0"/>
    <w:rsid w:val="00A56F4C"/>
    <w:rsid w:val="00A613A9"/>
    <w:rsid w:val="00A62E86"/>
    <w:rsid w:val="00A6370E"/>
    <w:rsid w:val="00A65DE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20AA"/>
    <w:rsid w:val="00AC4566"/>
    <w:rsid w:val="00AD1499"/>
    <w:rsid w:val="00AD3CF0"/>
    <w:rsid w:val="00AD4364"/>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451F0"/>
    <w:rsid w:val="00B65627"/>
    <w:rsid w:val="00B66EED"/>
    <w:rsid w:val="00B73412"/>
    <w:rsid w:val="00B73493"/>
    <w:rsid w:val="00B84AF1"/>
    <w:rsid w:val="00B86B65"/>
    <w:rsid w:val="00B8788F"/>
    <w:rsid w:val="00B90E74"/>
    <w:rsid w:val="00B94C90"/>
    <w:rsid w:val="00B97A31"/>
    <w:rsid w:val="00BA560D"/>
    <w:rsid w:val="00BA5937"/>
    <w:rsid w:val="00BB0FB8"/>
    <w:rsid w:val="00BB1FE6"/>
    <w:rsid w:val="00BC0AA2"/>
    <w:rsid w:val="00BC21C7"/>
    <w:rsid w:val="00BC2FD4"/>
    <w:rsid w:val="00BC56DC"/>
    <w:rsid w:val="00BD04E3"/>
    <w:rsid w:val="00BD0BEF"/>
    <w:rsid w:val="00BD34C9"/>
    <w:rsid w:val="00BD4F5A"/>
    <w:rsid w:val="00BD7399"/>
    <w:rsid w:val="00BF7A32"/>
    <w:rsid w:val="00C06EA5"/>
    <w:rsid w:val="00C077AD"/>
    <w:rsid w:val="00C1277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74B8"/>
    <w:rsid w:val="00CB0AD8"/>
    <w:rsid w:val="00CB1D73"/>
    <w:rsid w:val="00CB306B"/>
    <w:rsid w:val="00CB7DCA"/>
    <w:rsid w:val="00CB7FEC"/>
    <w:rsid w:val="00CD0ADE"/>
    <w:rsid w:val="00CD48EC"/>
    <w:rsid w:val="00CD5730"/>
    <w:rsid w:val="00CE074E"/>
    <w:rsid w:val="00CF0861"/>
    <w:rsid w:val="00CF0A01"/>
    <w:rsid w:val="00CF1D79"/>
    <w:rsid w:val="00CF33A1"/>
    <w:rsid w:val="00CF4CA0"/>
    <w:rsid w:val="00CF50D7"/>
    <w:rsid w:val="00CF6B42"/>
    <w:rsid w:val="00D11079"/>
    <w:rsid w:val="00D12430"/>
    <w:rsid w:val="00D16B37"/>
    <w:rsid w:val="00D237D9"/>
    <w:rsid w:val="00D23A90"/>
    <w:rsid w:val="00D26F5F"/>
    <w:rsid w:val="00D30A05"/>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9CA"/>
    <w:rsid w:val="00DC4CD3"/>
    <w:rsid w:val="00DD5A7B"/>
    <w:rsid w:val="00DD60D6"/>
    <w:rsid w:val="00DE7653"/>
    <w:rsid w:val="00DF5587"/>
    <w:rsid w:val="00DF7B93"/>
    <w:rsid w:val="00E01775"/>
    <w:rsid w:val="00E0640E"/>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3F7A"/>
    <w:rsid w:val="00E7633D"/>
    <w:rsid w:val="00E80069"/>
    <w:rsid w:val="00E8728C"/>
    <w:rsid w:val="00E93A31"/>
    <w:rsid w:val="00EA475C"/>
    <w:rsid w:val="00EA685C"/>
    <w:rsid w:val="00EB0ADA"/>
    <w:rsid w:val="00EB2AF9"/>
    <w:rsid w:val="00EB6A60"/>
    <w:rsid w:val="00EB6A8A"/>
    <w:rsid w:val="00EC07C8"/>
    <w:rsid w:val="00EC0D24"/>
    <w:rsid w:val="00EC44C9"/>
    <w:rsid w:val="00EC5B58"/>
    <w:rsid w:val="00EC6459"/>
    <w:rsid w:val="00ED0162"/>
    <w:rsid w:val="00ED2E69"/>
    <w:rsid w:val="00ED4CDD"/>
    <w:rsid w:val="00EE48E5"/>
    <w:rsid w:val="00EE59F7"/>
    <w:rsid w:val="00EF0CF7"/>
    <w:rsid w:val="00EF1481"/>
    <w:rsid w:val="00EF6B4B"/>
    <w:rsid w:val="00EF72B4"/>
    <w:rsid w:val="00F03B34"/>
    <w:rsid w:val="00F131FB"/>
    <w:rsid w:val="00F15410"/>
    <w:rsid w:val="00F22AEA"/>
    <w:rsid w:val="00F260EB"/>
    <w:rsid w:val="00F30F6B"/>
    <w:rsid w:val="00F32E81"/>
    <w:rsid w:val="00F34D32"/>
    <w:rsid w:val="00F375DF"/>
    <w:rsid w:val="00F40399"/>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we.vangent.local/sites/teams/CMS/CSR/eCoaching/Pages/Dashboard.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cwe.vangent.local/"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hyperlink" Target="mailto:First.Last@GDIT.com"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cwe.vangent.local/sites/teams/CMS/CSR/eCoaching/Pages/Dashboard.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hyperlink" Target="http://cwe.vangent.local/sites/teams/CMS/CSR/eCoaching/Pages/Dashboard.aspx"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B118DFE1-4A20-4019-B723-2686A3BC0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64</Pages>
  <Words>11384</Words>
  <Characters>64890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9</cp:revision>
  <cp:lastPrinted>2014-07-24T20:04:00Z</cp:lastPrinted>
  <dcterms:created xsi:type="dcterms:W3CDTF">2014-07-23T15:15:00Z</dcterms:created>
  <dcterms:modified xsi:type="dcterms:W3CDTF">2014-08-07T15:38:00Z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