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w:t>
      </w:r>
      <w:bookmarkStart w:id="0" w:name="_GoBack"/>
      <w:bookmarkEnd w:id="0"/>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19928C6" w:rsidR="00167A2E" w:rsidRDefault="00AC7B11" w:rsidP="00654939">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Pr>
                <w:rFonts w:ascii="Times New Roman (PCL6)" w:hAnsi="Times New Roman (PCL6)"/>
                <w:color w:val="000000" w:themeColor="text1"/>
                <w:sz w:val="20"/>
              </w:rPr>
              <w:t>0</w:t>
            </w:r>
            <w:r w:rsidR="00654939">
              <w:rPr>
                <w:rFonts w:ascii="Times New Roman (PCL6)" w:hAnsi="Times New Roman (PCL6)"/>
                <w:color w:val="000000" w:themeColor="text1"/>
                <w:sz w:val="20"/>
              </w:rPr>
              <w:t>9</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BC531C6" w:rsidR="00167A2E" w:rsidRDefault="00B311A6" w:rsidP="00B311A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P13479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Warning Coaching Log</w:t>
            </w:r>
          </w:p>
        </w:tc>
      </w:tr>
    </w:tbl>
    <w:p w14:paraId="3ECE7BFD" w14:textId="1253A2B7" w:rsidR="008747B8" w:rsidRPr="00A525FE" w:rsidRDefault="0032039C"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32039C"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bl>
    <w:p w14:paraId="1A51E9F4" w14:textId="5FC69038"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5D2F7C9B"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9F0F79">
        <w:rPr>
          <w:rFonts w:asciiTheme="minorHAnsi" w:hAnsiTheme="minorHAnsi" w:cs="Segoe UI"/>
          <w:color w:val="000000" w:themeColor="text1"/>
          <w:sz w:val="20"/>
          <w:szCs w:val="20"/>
        </w:rPr>
        <w:t xml:space="preserve">  Notes associated with progressive disciplinary warnings will be stored encrypted.</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 xml:space="preserve">This replaces the previous Active Directory check, because there are </w:t>
      </w:r>
      <w:r w:rsidRPr="002F7978">
        <w:rPr>
          <w:noProof/>
          <w:color w:val="000000" w:themeColor="text1"/>
          <w:sz w:val="20"/>
          <w:szCs w:val="20"/>
        </w:rPr>
        <w:lastRenderedPageBreak/>
        <w:t>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lastRenderedPageBreak/>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31F79200" w14:textId="74772A6A" w:rsidR="00677BEF" w:rsidRDefault="00327654" w:rsidP="00E01775">
            <w:pPr>
              <w:rPr>
                <w:rFonts w:ascii="Verdana" w:hAnsi="Verdana"/>
                <w:color w:val="000000" w:themeColor="text1"/>
                <w:sz w:val="16"/>
                <w:szCs w:val="16"/>
              </w:rPr>
            </w:pPr>
            <w:r>
              <w:rPr>
                <w:rFonts w:ascii="Verdana" w:hAnsi="Verdana"/>
                <w:color w:val="000000" w:themeColor="text1"/>
                <w:sz w:val="16"/>
                <w:szCs w:val="16"/>
              </w:rPr>
              <w:t>Note: Description for Warning Logs will be encrypted for privacy.</w:t>
            </w:r>
          </w:p>
          <w:p w14:paraId="1057BB7D" w14:textId="7CA8A948"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14C6DE3D" w14:textId="3890BAD3" w:rsidR="00200C96" w:rsidRDefault="00200C96" w:rsidP="00C06EA5">
            <w:pPr>
              <w:rPr>
                <w:rFonts w:ascii="Verdana" w:hAnsi="Verdana"/>
                <w:color w:val="000000" w:themeColor="text1"/>
                <w:sz w:val="16"/>
                <w:szCs w:val="16"/>
              </w:rPr>
            </w:pPr>
            <w:r>
              <w:rPr>
                <w:rFonts w:ascii="Verdana" w:hAnsi="Verdana"/>
                <w:color w:val="000000" w:themeColor="text1"/>
                <w:sz w:val="16"/>
                <w:szCs w:val="16"/>
              </w:rPr>
              <w:t xml:space="preserve">Note: </w:t>
            </w:r>
            <w:proofErr w:type="spellStart"/>
            <w:r>
              <w:rPr>
                <w:rFonts w:ascii="Verdana" w:hAnsi="Verdana"/>
                <w:color w:val="000000" w:themeColor="text1"/>
                <w:sz w:val="16"/>
                <w:szCs w:val="16"/>
              </w:rPr>
              <w:t>CoachingNotes</w:t>
            </w:r>
            <w:proofErr w:type="spellEnd"/>
            <w:r>
              <w:rPr>
                <w:rFonts w:ascii="Verdana" w:hAnsi="Verdana"/>
                <w:color w:val="000000" w:themeColor="text1"/>
                <w:sz w:val="16"/>
                <w:szCs w:val="16"/>
              </w:rPr>
              <w:t xml:space="preserve"> for Warning Logs will be encrypted for privacy.</w:t>
            </w:r>
          </w:p>
          <w:p w14:paraId="519F84AF" w14:textId="2C487EC3" w:rsidR="00327654"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lastRenderedPageBreak/>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Intentionally disconnects </w:t>
            </w:r>
            <w:r w:rsidRPr="00542194">
              <w:rPr>
                <w:rFonts w:ascii="Verdana" w:hAnsi="Verdana"/>
                <w:color w:val="000000" w:themeColor="text1"/>
                <w:sz w:val="16"/>
                <w:szCs w:val="16"/>
              </w:rPr>
              <w:lastRenderedPageBreak/>
              <w:t>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3C917709"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552BAFA3" w14:textId="791C8D2C"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w:t>
            </w:r>
            <w:r w:rsidRPr="003E6ED4">
              <w:rPr>
                <w:color w:val="000000" w:themeColor="text1"/>
                <w:sz w:val="18"/>
                <w:szCs w:val="18"/>
              </w:rPr>
              <w:lastRenderedPageBreak/>
              <w:t>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lastRenderedPageBreak/>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67ED6044" w:rsidR="00273608" w:rsidRDefault="00273608" w:rsidP="00FE3A0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FE3A0B">
              <w:rPr>
                <w:rFonts w:ascii="Verdana" w:hAnsi="Verdana" w:cstheme="minorHAnsi"/>
                <w:color w:val="000000" w:themeColor="text1"/>
                <w:sz w:val="16"/>
                <w:szCs w:val="16"/>
              </w:rPr>
              <w:t>+</w:t>
            </w:r>
            <w:r>
              <w:rPr>
                <w:rFonts w:ascii="Verdana" w:hAnsi="Verdana" w:cstheme="minorHAnsi"/>
                <w:color w:val="000000" w:themeColor="text1"/>
                <w:sz w:val="16"/>
                <w:szCs w:val="16"/>
              </w:rPr>
              <w:t xml:space="preserve"> 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130BE82"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4F7729C"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18B7916"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 have verified that all the information on this form is true and </w:t>
            </w:r>
            <w:r w:rsidRPr="00B14561">
              <w:rPr>
                <w:rFonts w:ascii="Verdana" w:hAnsi="Verdana" w:cstheme="minorHAnsi"/>
                <w:color w:val="000000" w:themeColor="text1"/>
                <w:sz w:val="16"/>
                <w:szCs w:val="16"/>
              </w:rPr>
              <w:lastRenderedPageBreak/>
              <w:t>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“Is the Coaching opportunity a confirmed Customer Service </w:t>
            </w:r>
            <w:r w:rsidRPr="00B14561">
              <w:rPr>
                <w:rFonts w:ascii="Verdana" w:hAnsi="Verdana" w:cstheme="minorHAnsi"/>
                <w:color w:val="000000" w:themeColor="text1"/>
                <w:sz w:val="16"/>
                <w:szCs w:val="16"/>
              </w:rPr>
              <w:lastRenderedPageBreak/>
              <w:t>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Records Form </w:t>
            </w:r>
            <w:r w:rsidRPr="00A43661">
              <w:rPr>
                <w:rFonts w:ascii="Verdana" w:hAnsi="Verdana" w:cstheme="minorHAnsi"/>
                <w:color w:val="000000" w:themeColor="text1"/>
                <w:sz w:val="16"/>
                <w:szCs w:val="16"/>
              </w:rPr>
              <w:lastRenderedPageBreak/>
              <w:t>(Radio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 xml:space="preserve">Generic (Quality/Training Job </w:t>
            </w:r>
            <w:r w:rsidRPr="00B14561">
              <w:rPr>
                <w:rFonts w:ascii="Verdana" w:hAnsi="Verdana" w:cstheme="minorHAnsi"/>
                <w:color w:val="000000" w:themeColor="text1"/>
                <w:sz w:val="16"/>
                <w:szCs w:val="16"/>
              </w:rPr>
              <w:lastRenderedPageBreak/>
              <w:t>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lastRenderedPageBreak/>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t>
            </w:r>
            <w:r>
              <w:rPr>
                <w:rFonts w:ascii="Verdana" w:hAnsi="Verdana" w:cstheme="minorHAnsi"/>
                <w:color w:val="000000" w:themeColor="text1"/>
                <w:sz w:val="16"/>
                <w:szCs w:val="16"/>
              </w:rPr>
              <w:lastRenderedPageBreak/>
              <w:t>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01096516" w:rsidR="005D0314" w:rsidRDefault="00203E8F" w:rsidP="005D0314">
      <w:pPr>
        <w:rPr>
          <w:noProof/>
        </w:rPr>
      </w:pPr>
      <w:r>
        <w:rPr>
          <w:noProof/>
        </w:rPr>
        <w:drawing>
          <wp:inline distT="0" distB="0" distL="0" distR="0" wp14:anchorId="2FC3109E" wp14:editId="1D5FD8B5">
            <wp:extent cx="27432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7F0185A7" w14:textId="6E9C22FE" w:rsidR="005D0314" w:rsidRDefault="00203E8F" w:rsidP="005D0314">
      <w:r>
        <w:rPr>
          <w:noProof/>
        </w:rPr>
        <w:drawing>
          <wp:inline distT="0" distB="0" distL="0" distR="0" wp14:anchorId="3A9B50CD" wp14:editId="3FF9D639">
            <wp:extent cx="27432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5CAFBC2F" w14:textId="6794E17A" w:rsidR="005D0314" w:rsidRDefault="005D0314" w:rsidP="005D0314"/>
    <w:p w14:paraId="79AAAFA2" w14:textId="559AED2C" w:rsidR="005D0314" w:rsidRDefault="005D0314" w:rsidP="00CD48EC"/>
    <w:p w14:paraId="07477F96" w14:textId="77777777" w:rsidR="005D0314" w:rsidRDefault="005D0314"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D094B23"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 xml:space="preserve">Supervisors 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77777777" w:rsidR="000A13F4" w:rsidRDefault="000A13F4" w:rsidP="000A13F4">
            <w:pPr>
              <w:spacing w:before="60" w:after="60"/>
              <w:rPr>
                <w:rFonts w:cstheme="minorHAnsi"/>
                <w:sz w:val="16"/>
                <w:szCs w:val="16"/>
              </w:rPr>
            </w:pPr>
            <w:r>
              <w:rPr>
                <w:rFonts w:cstheme="minorHAnsi"/>
                <w:sz w:val="16"/>
                <w:szCs w:val="16"/>
              </w:rPr>
              <w:t>Role = Supervisor</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3D97E2B9"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7777777" w:rsidR="008B045B" w:rsidRDefault="008B045B" w:rsidP="008B045B">
            <w:pPr>
              <w:spacing w:before="60" w:after="60"/>
              <w:rPr>
                <w:rFonts w:cstheme="minorHAnsi"/>
                <w:sz w:val="16"/>
                <w:szCs w:val="16"/>
              </w:rPr>
            </w:pPr>
            <w:r>
              <w:rPr>
                <w:rFonts w:cstheme="minorHAnsi"/>
                <w:sz w:val="16"/>
                <w:szCs w:val="16"/>
              </w:rPr>
              <w:t>Role = Manager</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lastRenderedPageBreak/>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eCoaching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7B8988D0"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lastRenderedPageBreak/>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32039C" w:rsidP="006352D3">
            <w:pPr>
              <w:pStyle w:val="ListParagraph"/>
              <w:spacing w:before="60" w:after="60"/>
              <w:ind w:left="294" w:right="90"/>
              <w:rPr>
                <w:rFonts w:cstheme="minorHAnsi"/>
                <w:sz w:val="16"/>
                <w:szCs w:val="16"/>
              </w:rPr>
            </w:pPr>
            <w:hyperlink r:id="rId34"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lastRenderedPageBreak/>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31B903C8"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lastRenderedPageBreak/>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lastRenderedPageBreak/>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lastRenderedPageBreak/>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lastRenderedPageBreak/>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32039C" w:rsidP="00A66045">
            <w:pPr>
              <w:spacing w:after="0" w:line="240" w:lineRule="auto"/>
              <w:rPr>
                <w:rFonts w:ascii="Calibri" w:eastAsia="Times New Roman" w:hAnsi="Calibri" w:cs="Times New Roman"/>
                <w:color w:val="0000FF"/>
                <w:u w:val="single"/>
              </w:rPr>
            </w:pPr>
            <w:hyperlink r:id="rId38"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2"/>
      <w:footerReference w:type="default" r:id="rId4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17224" w14:textId="77777777" w:rsidR="0032039C" w:rsidRDefault="0032039C" w:rsidP="0058110C">
      <w:pPr>
        <w:spacing w:after="0" w:line="240" w:lineRule="auto"/>
      </w:pPr>
      <w:r>
        <w:separator/>
      </w:r>
    </w:p>
  </w:endnote>
  <w:endnote w:type="continuationSeparator" w:id="0">
    <w:p w14:paraId="23050F2F" w14:textId="77777777" w:rsidR="0032039C" w:rsidRDefault="0032039C"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14476" w:rsidRDefault="00014476"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14476" w:rsidRDefault="00014476"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FE3A0B">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FE3A0B">
      <w:rPr>
        <w:rStyle w:val="PageNumber"/>
        <w:noProof/>
        <w:sz w:val="18"/>
        <w:szCs w:val="18"/>
      </w:rPr>
      <w:t>93</w:t>
    </w:r>
    <w:r w:rsidRPr="005C11DA">
      <w:rPr>
        <w:rStyle w:val="PageNumber"/>
        <w:sz w:val="18"/>
        <w:szCs w:val="18"/>
      </w:rPr>
      <w:fldChar w:fldCharType="end"/>
    </w:r>
    <w:r>
      <w:rPr>
        <w:sz w:val="18"/>
      </w:rPr>
      <w:t xml:space="preserve">                                                                                                                           </w:t>
    </w:r>
  </w:p>
  <w:p w14:paraId="3B328916" w14:textId="77777777" w:rsidR="00014476" w:rsidRDefault="00014476"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014476" w:rsidRDefault="00014476"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E3A0B">
              <w:rPr>
                <w:b/>
                <w:noProof/>
              </w:rPr>
              <w:t>93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E3A0B">
              <w:rPr>
                <w:b/>
                <w:noProof/>
              </w:rPr>
              <w:t>93</w:t>
            </w:r>
            <w:r>
              <w:rPr>
                <w:b/>
                <w:sz w:val="24"/>
                <w:szCs w:val="24"/>
              </w:rPr>
              <w:fldChar w:fldCharType="end"/>
            </w:r>
          </w:p>
        </w:sdtContent>
      </w:sdt>
    </w:sdtContent>
  </w:sdt>
  <w:p w14:paraId="6E63AB7B" w14:textId="77777777" w:rsidR="00014476" w:rsidRDefault="00014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42EE7" w14:textId="77777777" w:rsidR="0032039C" w:rsidRDefault="0032039C" w:rsidP="0058110C">
      <w:pPr>
        <w:spacing w:after="0" w:line="240" w:lineRule="auto"/>
      </w:pPr>
      <w:r>
        <w:separator/>
      </w:r>
    </w:p>
  </w:footnote>
  <w:footnote w:type="continuationSeparator" w:id="0">
    <w:p w14:paraId="71742654" w14:textId="77777777" w:rsidR="0032039C" w:rsidRDefault="0032039C"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14476" w:rsidRPr="004913FD" w:rsidRDefault="00014476"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14476" w:rsidRPr="00B8788F" w:rsidRDefault="0032039C">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014476">
      <w:rPr>
        <w:rFonts w:ascii="Arial" w:hAnsi="Arial" w:cs="Arial"/>
        <w:color w:val="0569B3"/>
        <w:sz w:val="20"/>
        <w:szCs w:val="20"/>
      </w:rPr>
      <w:t>eCoaching</w:t>
    </w:r>
    <w:proofErr w:type="gramEnd"/>
    <w:r w:rsidR="00014476">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71127"/>
    <w:rsid w:val="00086851"/>
    <w:rsid w:val="000921D6"/>
    <w:rsid w:val="00097DF8"/>
    <w:rsid w:val="000A13F4"/>
    <w:rsid w:val="000A1653"/>
    <w:rsid w:val="000A275B"/>
    <w:rsid w:val="000A38FB"/>
    <w:rsid w:val="000A405F"/>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5D47"/>
    <w:rsid w:val="0015636F"/>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7B93"/>
    <w:rsid w:val="00E01775"/>
    <w:rsid w:val="00E0640E"/>
    <w:rsid w:val="00E2041C"/>
    <w:rsid w:val="00E21BE9"/>
    <w:rsid w:val="00E23591"/>
    <w:rsid w:val="00E27446"/>
    <w:rsid w:val="00E311CC"/>
    <w:rsid w:val="00E3318F"/>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3A0B"/>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cwe.vangent.local/" TargetMode="External"/><Relationship Id="rId42"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hyperlink" Target="mailto:First.Last@GDI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3A75B629-2895-4317-9854-0D8786B5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93</Pages>
  <Words>16362</Words>
  <Characters>93269</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53</cp:revision>
  <cp:lastPrinted>2014-09-26T15:49:00Z</cp:lastPrinted>
  <dcterms:created xsi:type="dcterms:W3CDTF">2014-09-23T14:50:00Z</dcterms:created>
  <dcterms:modified xsi:type="dcterms:W3CDTF">2014-10-17T17:30:00Z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