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AEC" w:rsidRDefault="001E233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9"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1E2332">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1E2332">
              <w:rPr>
                <w:rFonts w:ascii="Times New Roman (PCL6)" w:hAnsi="Times New Roman (PCL6)"/>
              </w:rPr>
              <w:t>11</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1E2332">
            <w:pPr>
              <w:ind w:right="-270"/>
              <w:rPr>
                <w:rFonts w:ascii="Times New Roman (PCL6)" w:hAnsi="Times New Roman (PCL6)"/>
              </w:rPr>
            </w:pPr>
            <w:r>
              <w:rPr>
                <w:rFonts w:ascii="Times New Roman (PCL6)" w:hAnsi="Times New Roman (PCL6)"/>
              </w:rPr>
              <w:t xml:space="preserve">TFS1877 – </w:t>
            </w:r>
            <w:proofErr w:type="spellStart"/>
            <w:r>
              <w:rPr>
                <w:rFonts w:ascii="Times New Roman (PCL6)" w:hAnsi="Times New Roman (PCL6)"/>
              </w:rPr>
              <w:t>eCL</w:t>
            </w:r>
            <w:proofErr w:type="spellEnd"/>
            <w:r>
              <w:rPr>
                <w:rFonts w:ascii="Times New Roman (PCL6)" w:hAnsi="Times New Roman (PCL6)"/>
              </w:rPr>
              <w:t xml:space="preserve"> Low CSAT Hierarchy Managers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E233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E233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E233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DE11E2">
            <w:pPr>
              <w:pStyle w:val="hdr1"/>
              <w:spacing w:before="0"/>
              <w:ind w:left="0"/>
              <w:jc w:val="left"/>
            </w:pPr>
            <w:r>
              <w:t>01/</w:t>
            </w:r>
            <w:r w:rsidR="0060483E">
              <w:t>26</w:t>
            </w:r>
            <w:r>
              <w:t>/2016</w:t>
            </w:r>
          </w:p>
        </w:tc>
        <w:tc>
          <w:tcPr>
            <w:tcW w:w="5238" w:type="dxa"/>
          </w:tcPr>
          <w:p w:rsidR="000C3AEC" w:rsidRDefault="002000A4" w:rsidP="00DE11E2">
            <w:pPr>
              <w:pStyle w:val="hdr1"/>
              <w:spacing w:before="0"/>
              <w:ind w:left="0"/>
              <w:jc w:val="left"/>
            </w:pPr>
            <w:r>
              <w:t>TFS1075 – Requirements Peer Review updates</w:t>
            </w:r>
          </w:p>
        </w:tc>
        <w:tc>
          <w:tcPr>
            <w:tcW w:w="2790" w:type="dxa"/>
          </w:tcPr>
          <w:p w:rsidR="000C3AEC" w:rsidRDefault="002000A4" w:rsidP="00DE11E2">
            <w:pPr>
              <w:pStyle w:val="hdr1"/>
              <w:spacing w:before="0"/>
              <w:ind w:left="0"/>
              <w:jc w:val="left"/>
            </w:pPr>
            <w:r>
              <w:t>Doug Stearns</w:t>
            </w:r>
          </w:p>
        </w:tc>
      </w:tr>
      <w:tr w:rsidR="00C35D3F">
        <w:tc>
          <w:tcPr>
            <w:tcW w:w="1440" w:type="dxa"/>
          </w:tcPr>
          <w:p w:rsidR="00C35D3F" w:rsidRDefault="00C35D3F" w:rsidP="00DE11E2">
            <w:pPr>
              <w:pStyle w:val="hdr1"/>
              <w:spacing w:before="0"/>
              <w:ind w:left="0"/>
              <w:jc w:val="left"/>
            </w:pPr>
            <w:r>
              <w:t>01/26/2016</w:t>
            </w:r>
          </w:p>
        </w:tc>
        <w:tc>
          <w:tcPr>
            <w:tcW w:w="5238" w:type="dxa"/>
          </w:tcPr>
          <w:p w:rsidR="00C35D3F" w:rsidRDefault="00C35D3F" w:rsidP="00DE11E2">
            <w:pPr>
              <w:pStyle w:val="hdr1"/>
              <w:spacing w:before="0"/>
              <w:ind w:left="0"/>
              <w:jc w:val="left"/>
            </w:pPr>
            <w:r>
              <w:t xml:space="preserve">TFS1075 – Requirements Peer Review updates – missed some updates when moving requirements from old fs to new </w:t>
            </w:r>
          </w:p>
        </w:tc>
        <w:tc>
          <w:tcPr>
            <w:tcW w:w="2790" w:type="dxa"/>
          </w:tcPr>
          <w:p w:rsidR="00C35D3F" w:rsidRDefault="00C35D3F" w:rsidP="00DE11E2">
            <w:pPr>
              <w:pStyle w:val="hdr1"/>
              <w:spacing w:before="0"/>
              <w:ind w:left="0"/>
              <w:jc w:val="left"/>
            </w:pPr>
            <w:r>
              <w:t>Doug Stearns</w:t>
            </w:r>
          </w:p>
        </w:tc>
      </w:tr>
      <w:tr w:rsidR="00674F17">
        <w:tc>
          <w:tcPr>
            <w:tcW w:w="1440" w:type="dxa"/>
          </w:tcPr>
          <w:p w:rsidR="00674F17" w:rsidRDefault="00674F17" w:rsidP="00DE11E2">
            <w:pPr>
              <w:pStyle w:val="hdr1"/>
              <w:spacing w:before="0"/>
              <w:ind w:left="0"/>
              <w:jc w:val="left"/>
            </w:pPr>
            <w:r>
              <w:t>02/03/2016</w:t>
            </w:r>
          </w:p>
        </w:tc>
        <w:tc>
          <w:tcPr>
            <w:tcW w:w="5238" w:type="dxa"/>
          </w:tcPr>
          <w:p w:rsidR="00674F17" w:rsidRDefault="00674F17" w:rsidP="00DE11E2">
            <w:pPr>
              <w:pStyle w:val="hdr1"/>
              <w:spacing w:before="0"/>
              <w:ind w:left="0"/>
              <w:jc w:val="left"/>
            </w:pPr>
            <w:r>
              <w:t>TFS1075 – Requirements Peer Review updates</w:t>
            </w:r>
          </w:p>
          <w:p w:rsidR="00674F17" w:rsidRDefault="00674F17" w:rsidP="00DE11E2">
            <w:pPr>
              <w:pStyle w:val="hdr1"/>
              <w:spacing w:before="0"/>
              <w:ind w:left="0"/>
              <w:jc w:val="left"/>
            </w:pPr>
            <w:r>
              <w:t>2.1.2 User Interfaces – added URLs</w:t>
            </w:r>
          </w:p>
        </w:tc>
        <w:tc>
          <w:tcPr>
            <w:tcW w:w="2790" w:type="dxa"/>
          </w:tcPr>
          <w:p w:rsidR="00674F17" w:rsidRDefault="00674F17" w:rsidP="00DE11E2">
            <w:pPr>
              <w:pStyle w:val="hdr1"/>
              <w:spacing w:before="0"/>
              <w:ind w:left="0"/>
              <w:jc w:val="left"/>
            </w:pPr>
            <w:r>
              <w:t>Doug Stearns</w:t>
            </w:r>
          </w:p>
        </w:tc>
      </w:tr>
      <w:tr w:rsidR="0095343D">
        <w:tc>
          <w:tcPr>
            <w:tcW w:w="1440" w:type="dxa"/>
          </w:tcPr>
          <w:p w:rsidR="0095343D" w:rsidRDefault="0095343D" w:rsidP="00DE11E2">
            <w:pPr>
              <w:pStyle w:val="hdr1"/>
              <w:spacing w:before="0"/>
              <w:ind w:left="0"/>
              <w:jc w:val="left"/>
            </w:pPr>
            <w:r>
              <w:t>02/04/2016</w:t>
            </w:r>
          </w:p>
        </w:tc>
        <w:tc>
          <w:tcPr>
            <w:tcW w:w="5238" w:type="dxa"/>
          </w:tcPr>
          <w:p w:rsidR="0095343D" w:rsidRDefault="0095343D" w:rsidP="00DE11E2">
            <w:pPr>
              <w:pStyle w:val="hdr1"/>
              <w:spacing w:before="0"/>
              <w:ind w:left="0"/>
              <w:jc w:val="left"/>
            </w:pPr>
            <w:r>
              <w:t xml:space="preserve">TFS1710 – </w:t>
            </w:r>
            <w:proofErr w:type="spellStart"/>
            <w:r>
              <w:t>eCL</w:t>
            </w:r>
            <w:proofErr w:type="spellEnd"/>
            <w:r>
              <w:t xml:space="preserve"> Email Reminder</w:t>
            </w:r>
          </w:p>
          <w:p w:rsidR="00DE11E2" w:rsidRDefault="00DE11E2" w:rsidP="00DE11E2">
            <w:pPr>
              <w:pStyle w:val="hdr1"/>
              <w:spacing w:before="0"/>
              <w:ind w:left="0"/>
              <w:jc w:val="left"/>
            </w:pPr>
            <w:r>
              <w:t>Added the following requirements:</w:t>
            </w:r>
          </w:p>
          <w:p w:rsidR="00DE11E2" w:rsidRDefault="00DE11E2" w:rsidP="00DE11E2">
            <w:pPr>
              <w:pStyle w:val="hdr1"/>
              <w:spacing w:before="0"/>
              <w:ind w:left="0"/>
              <w:jc w:val="left"/>
            </w:pPr>
            <w:r w:rsidRPr="00DE11E2">
              <w:t>3.2.2.4 Email Reminder</w:t>
            </w:r>
            <w:r>
              <w:t xml:space="preserve"> (and child requirements)</w:t>
            </w:r>
          </w:p>
        </w:tc>
        <w:tc>
          <w:tcPr>
            <w:tcW w:w="2790" w:type="dxa"/>
          </w:tcPr>
          <w:p w:rsidR="0095343D" w:rsidRDefault="0095343D" w:rsidP="00DE11E2">
            <w:pPr>
              <w:pStyle w:val="hdr1"/>
              <w:spacing w:before="0"/>
              <w:ind w:left="0"/>
              <w:jc w:val="left"/>
            </w:pPr>
            <w:r>
              <w:t>Doug Stearns</w:t>
            </w:r>
          </w:p>
        </w:tc>
      </w:tr>
      <w:tr w:rsidR="00F217B4">
        <w:tc>
          <w:tcPr>
            <w:tcW w:w="1440" w:type="dxa"/>
          </w:tcPr>
          <w:p w:rsidR="00F217B4" w:rsidRDefault="00F217B4" w:rsidP="00DE11E2">
            <w:pPr>
              <w:pStyle w:val="hdr1"/>
              <w:spacing w:before="0"/>
              <w:ind w:left="0"/>
              <w:jc w:val="left"/>
            </w:pPr>
            <w:r>
              <w:t>02/09/2016</w:t>
            </w:r>
          </w:p>
        </w:tc>
        <w:tc>
          <w:tcPr>
            <w:tcW w:w="5238" w:type="dxa"/>
          </w:tcPr>
          <w:p w:rsidR="00F217B4" w:rsidRDefault="00F217B4" w:rsidP="00F217B4">
            <w:pPr>
              <w:pStyle w:val="hdr1"/>
              <w:spacing w:before="0"/>
              <w:ind w:left="0"/>
              <w:jc w:val="left"/>
            </w:pPr>
            <w:r>
              <w:t xml:space="preserve">TFS1710 – </w:t>
            </w:r>
            <w:proofErr w:type="spellStart"/>
            <w:r>
              <w:t>eCL</w:t>
            </w:r>
            <w:proofErr w:type="spellEnd"/>
            <w:r>
              <w:t xml:space="preserve"> Email Reminder</w:t>
            </w:r>
          </w:p>
          <w:p w:rsidR="00F217B4" w:rsidRDefault="00F217B4" w:rsidP="00F217B4">
            <w:pPr>
              <w:pStyle w:val="hdr1"/>
              <w:spacing w:before="0"/>
              <w:ind w:left="0"/>
              <w:jc w:val="left"/>
            </w:pPr>
            <w:r>
              <w:t>Modified the following requirements based on review</w:t>
            </w:r>
          </w:p>
          <w:p w:rsidR="00F217B4" w:rsidRPr="00F217B4" w:rsidRDefault="00F217B4" w:rsidP="00F217B4">
            <w:pPr>
              <w:pStyle w:val="hdr1"/>
              <w:spacing w:before="0"/>
              <w:ind w:left="0"/>
              <w:jc w:val="left"/>
              <w:rPr>
                <w:b/>
              </w:rPr>
            </w:pPr>
            <w:r w:rsidRPr="00F217B4">
              <w:t>3.2.2.5.3 Time Frame</w:t>
            </w:r>
          </w:p>
        </w:tc>
        <w:tc>
          <w:tcPr>
            <w:tcW w:w="2790" w:type="dxa"/>
          </w:tcPr>
          <w:p w:rsidR="00F217B4" w:rsidRDefault="00F217B4" w:rsidP="00DE11E2">
            <w:pPr>
              <w:pStyle w:val="hdr1"/>
              <w:spacing w:before="0"/>
              <w:ind w:left="0"/>
              <w:jc w:val="left"/>
            </w:pPr>
            <w:r>
              <w:t>Doug Stearns</w:t>
            </w:r>
          </w:p>
        </w:tc>
      </w:tr>
      <w:tr w:rsidR="001E2332">
        <w:tc>
          <w:tcPr>
            <w:tcW w:w="1440" w:type="dxa"/>
          </w:tcPr>
          <w:p w:rsidR="001E2332" w:rsidRDefault="001E2332" w:rsidP="00DE11E2">
            <w:pPr>
              <w:pStyle w:val="hdr1"/>
              <w:spacing w:before="0"/>
              <w:ind w:left="0"/>
              <w:jc w:val="left"/>
            </w:pPr>
            <w:r>
              <w:t>02/11/2016</w:t>
            </w:r>
          </w:p>
        </w:tc>
        <w:tc>
          <w:tcPr>
            <w:tcW w:w="5238" w:type="dxa"/>
          </w:tcPr>
          <w:p w:rsidR="001E2332" w:rsidRDefault="001E2332" w:rsidP="00F217B4">
            <w:pPr>
              <w:pStyle w:val="hdr1"/>
              <w:spacing w:before="0"/>
              <w:ind w:left="0"/>
              <w:jc w:val="left"/>
            </w:pPr>
            <w:r>
              <w:t xml:space="preserve">TFS1877 – </w:t>
            </w:r>
            <w:proofErr w:type="spellStart"/>
            <w:r>
              <w:t>eCL</w:t>
            </w:r>
            <w:proofErr w:type="spellEnd"/>
            <w:r>
              <w:t xml:space="preserve"> Low CSAT Hierarchy Managers</w:t>
            </w:r>
          </w:p>
          <w:p w:rsidR="00D52A96" w:rsidRDefault="00D52A96" w:rsidP="00F217B4">
            <w:pPr>
              <w:pStyle w:val="hdr1"/>
              <w:spacing w:before="0"/>
              <w:ind w:left="0"/>
              <w:jc w:val="left"/>
            </w:pPr>
            <w:r>
              <w:t>Added the following requirement:</w:t>
            </w:r>
          </w:p>
          <w:p w:rsidR="00D52A96" w:rsidRDefault="00D52A96" w:rsidP="00F217B4">
            <w:pPr>
              <w:pStyle w:val="hdr1"/>
              <w:spacing w:before="0"/>
              <w:ind w:left="0"/>
              <w:jc w:val="left"/>
            </w:pPr>
            <w:r w:rsidRPr="00D52A96">
              <w:t>3.2.5.1.5.4 Hierarchy Manager</w:t>
            </w:r>
          </w:p>
        </w:tc>
        <w:tc>
          <w:tcPr>
            <w:tcW w:w="2790" w:type="dxa"/>
          </w:tcPr>
          <w:p w:rsidR="001E2332" w:rsidRDefault="001E2332" w:rsidP="00DE11E2">
            <w:pPr>
              <w:pStyle w:val="hdr1"/>
              <w:spacing w:before="0"/>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2449788"/>
      <w:r>
        <w:rPr>
          <w:rFonts w:ascii="Arial" w:hAnsi="Arial"/>
          <w:kern w:val="0"/>
          <w:sz w:val="24"/>
        </w:rPr>
        <w:t>Table of Contents</w:t>
      </w:r>
      <w:bookmarkEnd w:id="1"/>
      <w:bookmarkEnd w:id="2"/>
      <w:bookmarkEnd w:id="3"/>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42449790"/>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42449791"/>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42449792"/>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42449793"/>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42449794"/>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42449795"/>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42449796"/>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42449797"/>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42449798"/>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42449799"/>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42449800"/>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42449801"/>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42449802"/>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42449803"/>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42449804"/>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42449805"/>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42449806"/>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42449807"/>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42449808"/>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42449809"/>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42449810"/>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42449811"/>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42449812"/>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42449813"/>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42449814"/>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42449815"/>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42449816"/>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42449817"/>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42449818"/>
      <w:r w:rsidRPr="006B2DCF">
        <w:rPr>
          <w:rFonts w:ascii="Arial" w:hAnsi="Arial"/>
          <w:b/>
          <w:bCs/>
          <w:sz w:val="22"/>
          <w:szCs w:val="22"/>
          <w:u w:val="none"/>
        </w:rPr>
        <w:t>3.2.1.1</w:t>
      </w:r>
      <w:r w:rsidRPr="006B2DCF">
        <w:rPr>
          <w:rFonts w:ascii="Arial" w:hAnsi="Arial"/>
          <w:b/>
          <w:bCs/>
          <w:sz w:val="22"/>
          <w:szCs w:val="22"/>
          <w:u w:val="none"/>
        </w:rPr>
        <w:tab/>
      </w:r>
      <w:bookmarkEnd w:id="91"/>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 xml:space="preserve">If yes call record, </w:t>
      </w:r>
      <w:proofErr w:type="gramStart"/>
      <w:r>
        <w:t>then</w:t>
      </w:r>
      <w:proofErr w:type="gramEnd"/>
      <w:r>
        <w:t xml:space="preserve">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 xml:space="preserve">If yes call record, </w:t>
      </w:r>
      <w:proofErr w:type="gramStart"/>
      <w:r>
        <w:t>then</w:t>
      </w:r>
      <w:proofErr w:type="gramEnd"/>
      <w:r>
        <w:t xml:space="preserve">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proofErr w:type="gramStart"/>
      <w:r w:rsidRPr="007B11F6">
        <w:t>Supervisor / Other – WACS40, WFFA40, WISY13, WMPR40, WPPM11, WPPT40, WPSM11, WPSM12, WPSM13, WPSM14, WPSM15, WTTI02.</w:t>
      </w:r>
      <w:proofErr w:type="gramEnd"/>
      <w:r w:rsidRPr="007B11F6">
        <w:t xml:space="preserve">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 xml:space="preserve">If yes call record, </w:t>
      </w:r>
      <w:proofErr w:type="gramStart"/>
      <w:r>
        <w:t>then</w:t>
      </w:r>
      <w:proofErr w:type="gramEnd"/>
      <w:r>
        <w:t xml:space="preserve">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 xml:space="preserve">If yes call record, </w:t>
      </w:r>
      <w:proofErr w:type="gramStart"/>
      <w:r>
        <w:t>then</w:t>
      </w:r>
      <w:proofErr w:type="gramEnd"/>
      <w:r>
        <w:t xml:space="preserve">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42449824"/>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42449825"/>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3"/>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E233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10"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xml:space="preserve">, </w:t>
      </w:r>
      <w:proofErr w:type="gramStart"/>
      <w:r w:rsidRPr="003521CF">
        <w:t>the</w:t>
      </w:r>
      <w:r>
        <w:t>n</w:t>
      </w:r>
      <w:proofErr w:type="gramEnd"/>
      <w:r>
        <w:t xml:space="preserve">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5"/>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proofErr w:type="gramStart"/>
      <w:r>
        <w:rPr>
          <w:b/>
        </w:rPr>
        <w:t>3.2.2.4.1</w:t>
      </w:r>
      <w:r>
        <w:rPr>
          <w:b/>
        </w:rPr>
        <w:tab/>
        <w:t>.2</w:t>
      </w:r>
      <w:r>
        <w:rPr>
          <w:b/>
        </w:rPr>
        <w:tab/>
      </w:r>
      <w:r w:rsidR="00EA2174" w:rsidRPr="00AF54FF">
        <w:rPr>
          <w:b/>
        </w:rPr>
        <w:t>Supervisor Module</w:t>
      </w:r>
      <w:proofErr w:type="gramEnd"/>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F217B4">
            <w:pPr>
              <w:rPr>
                <w:color w:val="000000"/>
              </w:rPr>
            </w:pPr>
            <w:r>
              <w:rPr>
                <w:color w:val="000000"/>
              </w:rPr>
              <w:t xml:space="preserve">72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DE11E2" w:rsidRPr="00AF54FF" w:rsidRDefault="00C47950" w:rsidP="00DE11E2">
      <w:pPr>
        <w:spacing w:before="120"/>
        <w:rPr>
          <w:b/>
        </w:rPr>
      </w:pPr>
      <w:r>
        <w:rPr>
          <w:b/>
        </w:rPr>
        <w:lastRenderedPageBreak/>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proofErr w:type="gramStart"/>
      <w:r>
        <w:t>Where [</w:t>
      </w:r>
      <w:proofErr w:type="spellStart"/>
      <w:r>
        <w:t>FormID</w:t>
      </w:r>
      <w:proofErr w:type="spellEnd"/>
      <w:r>
        <w:t xml:space="preserve">] represents the </w:t>
      </w:r>
      <w:proofErr w:type="spellStart"/>
      <w:r>
        <w:t>eCoaching</w:t>
      </w:r>
      <w:proofErr w:type="spellEnd"/>
      <w:r>
        <w:t xml:space="preserve"> Log form name.</w:t>
      </w:r>
      <w:proofErr w:type="gramEnd"/>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proofErr w:type="gramStart"/>
      <w:r>
        <w:t>Where [</w:t>
      </w:r>
      <w:proofErr w:type="spellStart"/>
      <w:r>
        <w:t>FormID</w:t>
      </w:r>
      <w:proofErr w:type="spellEnd"/>
      <w:r>
        <w:t xml:space="preserve">] represents the </w:t>
      </w:r>
      <w:proofErr w:type="spellStart"/>
      <w:r>
        <w:t>eCoaching</w:t>
      </w:r>
      <w:proofErr w:type="spellEnd"/>
      <w:r>
        <w:t xml:space="preserve"> Log form name.</w:t>
      </w:r>
      <w:proofErr w:type="gramEnd"/>
    </w:p>
    <w:p w:rsidR="00901287" w:rsidRDefault="00901287" w:rsidP="00EA2174">
      <w:pPr>
        <w:ind w:left="1440"/>
      </w:pPr>
    </w:p>
    <w:p w:rsidR="000C3AEC" w:rsidRPr="001E2ED2" w:rsidRDefault="000C3AEC" w:rsidP="00FE5B49">
      <w:pPr>
        <w:pStyle w:val="Heading3"/>
        <w:rPr>
          <w:rFonts w:ascii="Arial" w:hAnsi="Arial"/>
          <w:bCs/>
          <w:sz w:val="20"/>
          <w:u w:val="none"/>
        </w:rPr>
      </w:pPr>
      <w:bookmarkStart w:id="109" w:name="_Toc446815303"/>
      <w:bookmarkStart w:id="110" w:name="_Toc122506602"/>
      <w:bookmarkStart w:id="111"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09"/>
      <w:bookmarkEnd w:id="110"/>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1"/>
    </w:p>
    <w:p w:rsidR="000C3AEC" w:rsidRPr="001E2ED2" w:rsidRDefault="000C3AEC" w:rsidP="00FE5B49">
      <w:pPr>
        <w:pStyle w:val="Heading4"/>
        <w:spacing w:before="120" w:after="120"/>
        <w:rPr>
          <w:rFonts w:ascii="Arial" w:hAnsi="Arial"/>
          <w:b/>
          <w:bCs/>
          <w:sz w:val="22"/>
          <w:szCs w:val="22"/>
          <w:u w:val="none"/>
        </w:rPr>
      </w:pPr>
      <w:bookmarkStart w:id="112" w:name="_Toc122506603"/>
      <w:bookmarkStart w:id="113"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2"/>
      <w:r w:rsidR="00AA553A">
        <w:rPr>
          <w:rFonts w:ascii="Arial" w:hAnsi="Arial"/>
          <w:b/>
          <w:bCs/>
          <w:sz w:val="22"/>
          <w:szCs w:val="22"/>
          <w:u w:val="none"/>
        </w:rPr>
        <w:t>O</w:t>
      </w:r>
      <w:r w:rsidR="00F23D8C">
        <w:rPr>
          <w:rFonts w:ascii="Arial" w:hAnsi="Arial"/>
          <w:b/>
          <w:bCs/>
          <w:sz w:val="22"/>
          <w:szCs w:val="22"/>
          <w:u w:val="none"/>
        </w:rPr>
        <w:t>utlier Management Reporting</w:t>
      </w:r>
      <w:bookmarkEnd w:id="113"/>
    </w:p>
    <w:p w:rsidR="001E2ED2" w:rsidRDefault="001E2ED2" w:rsidP="001E2ED2">
      <w:pPr>
        <w:ind w:left="720"/>
      </w:pPr>
      <w:bookmarkStart w:id="114"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lastRenderedPageBreak/>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w:t>
            </w:r>
            <w:r w:rsidRPr="00380BDF">
              <w:rPr>
                <w:rFonts w:eastAsia="Calibri"/>
              </w:rPr>
              <w:lastRenderedPageBreak/>
              <w:t xml:space="preserve">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5"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5"/>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lastRenderedPageBreak/>
        <w:t>Scorecards from the quality data feed which match an existing record in the system will not be loaded</w:t>
      </w:r>
      <w:r w:rsidR="00565D41">
        <w:t xml:space="preserve">, but instead updated.  Updated logs must still be </w:t>
      </w:r>
      <w:proofErr w:type="gramStart"/>
      <w:r w:rsidR="00565D41">
        <w:t>Open</w:t>
      </w:r>
      <w:proofErr w:type="gramEnd"/>
      <w:r w:rsidR="00565D41">
        <w:t xml:space="preserve">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6"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6"/>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 xml:space="preserve">Excused absence, paid </w:t>
      </w:r>
      <w:proofErr w:type="gramStart"/>
      <w:r w:rsidR="00DE6C7F">
        <w:rPr>
          <w:b/>
        </w:rPr>
        <w:t>leave</w:t>
      </w:r>
      <w:proofErr w:type="gramEnd"/>
      <w:r w:rsidR="00DE6C7F">
        <w:rPr>
          <w:b/>
        </w:rPr>
        <w:t xml:space="preser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w:t>
      </w:r>
      <w:proofErr w:type="gramStart"/>
      <w:r>
        <w:t>under</w:t>
      </w:r>
      <w:proofErr w:type="gramEnd"/>
      <w:r>
        <w:t xml:space="preserve">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 xml:space="preserve">Excused absence, paid </w:t>
      </w:r>
      <w:proofErr w:type="gramStart"/>
      <w:r w:rsidR="00873FCF" w:rsidRPr="00873FCF">
        <w:rPr>
          <w:b/>
        </w:rPr>
        <w:t>leave</w:t>
      </w:r>
      <w:proofErr w:type="gramEnd"/>
      <w:r w:rsidR="00873FCF" w:rsidRPr="00873FCF">
        <w:rPr>
          <w:b/>
        </w:rPr>
        <w:t xml:space="preser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w:t>
      </w:r>
      <w:proofErr w:type="gramStart"/>
      <w:r>
        <w:t>under</w:t>
      </w:r>
      <w:proofErr w:type="gramEnd"/>
      <w:r>
        <w:t xml:space="preserve">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7"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7"/>
    </w:p>
    <w:p w:rsidR="0030406B" w:rsidRPr="001E2ED2" w:rsidRDefault="0030406B" w:rsidP="0030406B">
      <w:pPr>
        <w:pStyle w:val="Heading4"/>
        <w:spacing w:before="120" w:after="120"/>
        <w:rPr>
          <w:rFonts w:ascii="Arial" w:hAnsi="Arial"/>
          <w:b/>
          <w:bCs/>
          <w:sz w:val="22"/>
          <w:szCs w:val="22"/>
          <w:u w:val="none"/>
        </w:rPr>
      </w:pPr>
      <w:bookmarkStart w:id="118"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8"/>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19"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0"/>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E2332" w:rsidP="008D1F78">
      <w:r>
        <w:rPr>
          <w:noProof/>
        </w:rPr>
        <w:pict>
          <v:shape id="Picture 1" o:spid="_x0000_i1027" type="#_x0000_t75" style="width:151.5pt;height:300pt;visibility:visible;mso-wrap-style:square">
            <v:imagedata r:id="rId11" o:title=""/>
          </v:shape>
        </w:pict>
      </w:r>
      <w:r>
        <w:rPr>
          <w:noProof/>
        </w:rPr>
        <w:pict>
          <v:shape id="Picture 2" o:spid="_x0000_i1028" type="#_x0000_t75" style="width:153pt;height:200.25pt;visibility:visible;mso-wrap-style:square">
            <v:imagedata r:id="rId12" o:title=""/>
          </v:shape>
        </w:pict>
      </w:r>
      <w:r>
        <w:rPr>
          <w:noProof/>
        </w:rPr>
        <w:pict>
          <v:shape id="Picture 6" o:spid="_x0000_i1029" type="#_x0000_t75" style="width:152.25pt;height:188.25pt;visibility:visible;mso-wrap-style:square">
            <v:imagedata r:id="rId13"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 xml:space="preserve">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proofErr w:type="gramStart"/>
      <w:r>
        <w:t>Example display of coaching/warning reasons.</w:t>
      </w:r>
      <w:proofErr w:type="gramEnd"/>
    </w:p>
    <w:p w:rsidR="00C45BDB" w:rsidRPr="008D1F78" w:rsidRDefault="00C45BDB" w:rsidP="0030406B">
      <w:pPr>
        <w:ind w:left="720" w:firstLine="720"/>
      </w:pPr>
    </w:p>
    <w:p w:rsidR="00BB4B7A" w:rsidRDefault="001E2332" w:rsidP="00BB4B7A">
      <w:pPr>
        <w:ind w:left="720" w:firstLine="720"/>
      </w:pPr>
      <w:r>
        <w:rPr>
          <w:noProof/>
        </w:rPr>
        <w:pict>
          <v:shape id="_x0000_i1030" type="#_x0000_t75" alt="cid:image002.png@01D0D112.BCEC1770" style="width:372pt;height:250.5pt;visibility:visible;mso-wrap-style:square">
            <v:imagedata r:id="rId14"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 xml:space="preserve">When the Employee recipient reviews a log and the status is not completed, </w:t>
      </w:r>
      <w:proofErr w:type="gramStart"/>
      <w:r w:rsidRPr="00895ABE">
        <w:t>then</w:t>
      </w:r>
      <w:proofErr w:type="gramEnd"/>
      <w:r w:rsidRPr="00895ABE">
        <w:t xml:space="preserve">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 xml:space="preserve">When the Supervisor of record reviews a log and the status is not completed, </w:t>
      </w:r>
      <w:proofErr w:type="gramStart"/>
      <w:r w:rsidRPr="00074E35">
        <w:t>then</w:t>
      </w:r>
      <w:proofErr w:type="gramEnd"/>
      <w:r w:rsidRPr="00074E35">
        <w:t xml:space="preserve">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 xml:space="preserve">When the Manager of record reviews a log and the status is not completed, </w:t>
      </w:r>
      <w:proofErr w:type="gramStart"/>
      <w:r w:rsidRPr="00A164EA">
        <w:t>then</w:t>
      </w:r>
      <w:proofErr w:type="gramEnd"/>
      <w:r w:rsidRPr="00A164EA">
        <w:t xml:space="preserve">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OMR (except Low CSAT)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w:t>
            </w:r>
            <w:proofErr w:type="gramStart"/>
            <w:r w:rsidRPr="006B6FA6">
              <w:rPr>
                <w:rFonts w:eastAsia="Calibri"/>
              </w:rPr>
              <w:t>provide</w:t>
            </w:r>
            <w:proofErr w:type="gramEnd"/>
            <w:r w:rsidRPr="006B6FA6">
              <w:rPr>
                <w:rFonts w:eastAsia="Calibri"/>
              </w:rPr>
              <w:t xml:space="preserv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1E2332" w:rsidP="006B6FA6">
      <w:pPr>
        <w:ind w:left="720" w:firstLine="720"/>
        <w:rPr>
          <w:sz w:val="24"/>
          <w:szCs w:val="24"/>
        </w:rPr>
      </w:pPr>
      <w:hyperlink r:id="rId1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8" w:history="1">
        <w:r w:rsidRPr="006B6FA6">
          <w:rPr>
            <w:rStyle w:val="Hyperlink"/>
          </w:rPr>
          <w:t>https://cco.gdit.com/Resources/SOP/Contact Center Operations/Forms/AllItems.aspx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lastRenderedPageBreak/>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w:t>
      </w:r>
      <w:bookmarkStart w:id="121" w:name="_GoBack"/>
      <w:bookmarkEnd w:id="121"/>
      <w:r w:rsidRPr="00923EF1">
        <w:t>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 xml:space="preserve">-GDIT Supervisor </w:t>
            </w:r>
            <w:proofErr w:type="spellStart"/>
            <w:r w:rsidRPr="00627B9F">
              <w:rPr>
                <w:rFonts w:eastAsia="Calibri"/>
              </w:rPr>
              <w:t>Verint</w:t>
            </w:r>
            <w:proofErr w:type="spellEnd"/>
            <w:r w:rsidRPr="00627B9F">
              <w:rPr>
                <w:rFonts w:eastAsia="Calibri"/>
              </w:rPr>
              <w: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lastRenderedPageBreak/>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proofErr w:type="gramStart"/>
      <w:r>
        <w:t xml:space="preserve">Where </w:t>
      </w:r>
      <w:proofErr w:type="spellStart"/>
      <w:r>
        <w:t>mmddyyyy</w:t>
      </w:r>
      <w:proofErr w:type="spellEnd"/>
      <w:r>
        <w:t xml:space="preserve"> is the date in month, day, year.</w:t>
      </w:r>
      <w:proofErr w:type="gramEnd"/>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w:t>
      </w:r>
      <w:proofErr w:type="gramStart"/>
      <w:r w:rsidRPr="000C114E">
        <w:t>PeopleSoft,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proofErr w:type="gramStart"/>
      <w:r w:rsidRPr="000C114E">
        <w:t>eWFM</w:t>
      </w:r>
      <w:proofErr w:type="spellEnd"/>
      <w:r w:rsidRPr="000C114E">
        <w:t>,</w:t>
      </w:r>
      <w:proofErr w:type="gram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lastRenderedPageBreak/>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lastRenderedPageBreak/>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r>
      <w:proofErr w:type="gramStart"/>
      <w:r>
        <w:t xml:space="preserve">Where </w:t>
      </w:r>
      <w:proofErr w:type="spellStart"/>
      <w:r>
        <w:t>mmddyyyy</w:t>
      </w:r>
      <w:proofErr w:type="spellEnd"/>
      <w:r>
        <w:t xml:space="preserve"> is the date in month, day, year.</w:t>
      </w:r>
      <w:proofErr w:type="gramEnd"/>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lastRenderedPageBreak/>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lastRenderedPageBreak/>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1E233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10"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lastRenderedPageBreak/>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4"/>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9CF" w:rsidRDefault="007619CF">
      <w:r>
        <w:separator/>
      </w:r>
    </w:p>
  </w:endnote>
  <w:endnote w:type="continuationSeparator" w:id="0">
    <w:p w:rsidR="007619CF" w:rsidRDefault="0076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32" w:rsidRDefault="001E2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2332" w:rsidRDefault="001E23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32" w:rsidRPr="00BA590C" w:rsidRDefault="001E233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E2332" w:rsidRPr="00BA590C" w:rsidRDefault="001E233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1E2332" w:rsidRPr="00732A0E" w:rsidRDefault="001E233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D52A96">
      <w:rPr>
        <w:rFonts w:ascii="Arial" w:hAnsi="Arial" w:cs="Arial"/>
        <w:noProof/>
        <w:sz w:val="18"/>
        <w:szCs w:val="18"/>
      </w:rPr>
      <w:t>71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D52A96">
      <w:rPr>
        <w:rFonts w:ascii="Arial" w:hAnsi="Arial" w:cs="Arial"/>
        <w:noProof/>
        <w:sz w:val="18"/>
        <w:szCs w:val="18"/>
      </w:rPr>
      <w:t>81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32" w:rsidRDefault="001E233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9CF" w:rsidRDefault="007619CF">
      <w:r>
        <w:separator/>
      </w:r>
    </w:p>
  </w:footnote>
  <w:footnote w:type="continuationSeparator" w:id="0">
    <w:p w:rsidR="007619CF" w:rsidRDefault="00761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32" w:rsidRPr="0068071B" w:rsidRDefault="001E2332"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1E2332" w:rsidRPr="00732A0E" w:rsidRDefault="001E233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32" w:rsidRDefault="001E233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E3181"/>
    <w:rsid w:val="002F4358"/>
    <w:rsid w:val="0030406B"/>
    <w:rsid w:val="003332A3"/>
    <w:rsid w:val="00334879"/>
    <w:rsid w:val="00340FD7"/>
    <w:rsid w:val="003521CF"/>
    <w:rsid w:val="0037175E"/>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D7756"/>
    <w:rsid w:val="004E4DE2"/>
    <w:rsid w:val="004F201F"/>
    <w:rsid w:val="004F7510"/>
    <w:rsid w:val="00507F9E"/>
    <w:rsid w:val="00512299"/>
    <w:rsid w:val="005214E3"/>
    <w:rsid w:val="00523EA8"/>
    <w:rsid w:val="00533645"/>
    <w:rsid w:val="00565D41"/>
    <w:rsid w:val="005802A5"/>
    <w:rsid w:val="005834DD"/>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32A0E"/>
    <w:rsid w:val="00737D41"/>
    <w:rsid w:val="0074011B"/>
    <w:rsid w:val="007434DF"/>
    <w:rsid w:val="00744613"/>
    <w:rsid w:val="0075123A"/>
    <w:rsid w:val="00752FC7"/>
    <w:rsid w:val="007619CF"/>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277B"/>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22619"/>
    <w:rsid w:val="00B31C4B"/>
    <w:rsid w:val="00B32CCB"/>
    <w:rsid w:val="00B339C8"/>
    <w:rsid w:val="00B4382F"/>
    <w:rsid w:val="00B600AD"/>
    <w:rsid w:val="00B61139"/>
    <w:rsid w:val="00B96970"/>
    <w:rsid w:val="00BA405C"/>
    <w:rsid w:val="00BA794C"/>
    <w:rsid w:val="00BB4B7A"/>
    <w:rsid w:val="00BD1350"/>
    <w:rsid w:val="00BD3903"/>
    <w:rsid w:val="00BD497E"/>
    <w:rsid w:val="00BE5E0A"/>
    <w:rsid w:val="00C00262"/>
    <w:rsid w:val="00C02004"/>
    <w:rsid w:val="00C0609F"/>
    <w:rsid w:val="00C1395F"/>
    <w:rsid w:val="00C21E48"/>
    <w:rsid w:val="00C3148E"/>
    <w:rsid w:val="00C35D3F"/>
    <w:rsid w:val="00C3636C"/>
    <w:rsid w:val="00C3685D"/>
    <w:rsid w:val="00C369BD"/>
    <w:rsid w:val="00C444F2"/>
    <w:rsid w:val="00C44A95"/>
    <w:rsid w:val="00C45BDB"/>
    <w:rsid w:val="00C47950"/>
    <w:rsid w:val="00C64921"/>
    <w:rsid w:val="00C71C31"/>
    <w:rsid w:val="00C743CC"/>
    <w:rsid w:val="00C835CB"/>
    <w:rsid w:val="00C905E9"/>
    <w:rsid w:val="00C97475"/>
    <w:rsid w:val="00CB1BF7"/>
    <w:rsid w:val="00CC0621"/>
    <w:rsid w:val="00CD775D"/>
    <w:rsid w:val="00CE045D"/>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20D3C"/>
    <w:rsid w:val="00E401F4"/>
    <w:rsid w:val="00E53872"/>
    <w:rsid w:val="00E72676"/>
    <w:rsid w:val="00E738A7"/>
    <w:rsid w:val="00E833CB"/>
    <w:rsid w:val="00E90259"/>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BE88B-025C-46B3-B9A6-482BD2FD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81</Pages>
  <Words>25648</Words>
  <Characters>146194</Characters>
  <Application>Microsoft Office Word</Application>
  <DocSecurity>0</DocSecurity>
  <Lines>1218</Lines>
  <Paragraphs>342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101</cp:revision>
  <cp:lastPrinted>2016-02-05T19:05:00Z</cp:lastPrinted>
  <dcterms:created xsi:type="dcterms:W3CDTF">2016-01-13T14:29:00Z</dcterms:created>
  <dcterms:modified xsi:type="dcterms:W3CDTF">2016-02-11T21:07:00Z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