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bookmarkStart w:id="0" w:name="_GoBack"/>
      <w:bookmarkEnd w:id="0"/>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4CB8BAC5"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167A2E">
        <w:rPr>
          <w:rFonts w:ascii="Arial" w:hAnsi="Arial"/>
          <w:b/>
          <w:color w:val="000000" w:themeColor="text1"/>
          <w:sz w:val="28"/>
        </w:rPr>
        <w:t>2</w:t>
      </w:r>
      <w:r w:rsidR="003646E8">
        <w:rPr>
          <w:rFonts w:ascii="Arial" w:hAnsi="Arial"/>
          <w:b/>
          <w:color w:val="000000" w:themeColor="text1"/>
          <w:sz w:val="28"/>
        </w:rPr>
        <w:t>.</w:t>
      </w:r>
      <w:r w:rsidR="004E4432">
        <w:rPr>
          <w:rFonts w:ascii="Arial" w:hAnsi="Arial"/>
          <w:b/>
          <w:color w:val="000000" w:themeColor="text1"/>
          <w:sz w:val="28"/>
        </w:rPr>
        <w:t>1</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8747B8" w:rsidRPr="00415CBB" w14:paraId="14C04ED9" w14:textId="77777777" w:rsidTr="008747B8">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51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7ACCA996" w:rsidR="00167A2E" w:rsidRDefault="00167A2E" w:rsidP="00CB7FEC">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07/</w:t>
            </w:r>
            <w:r w:rsidR="00CB7FEC">
              <w:rPr>
                <w:rFonts w:ascii="Times New Roman (PCL6)" w:hAnsi="Times New Roman (PCL6)"/>
                <w:color w:val="000000" w:themeColor="text1"/>
                <w:sz w:val="20"/>
              </w:rPr>
              <w:t>23</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2DEEA006" w14:textId="5C1D4971" w:rsidR="00167A2E" w:rsidRDefault="00167A2E"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Doug Stearns</w:t>
            </w:r>
          </w:p>
        </w:tc>
      </w:tr>
    </w:tbl>
    <w:p w14:paraId="3ECE7BFD" w14:textId="1253A2B7" w:rsidR="008747B8" w:rsidRPr="00A525FE" w:rsidRDefault="00CB7FEC"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CB7FEC"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bl>
    <w:p w14:paraId="1A51E9F4" w14:textId="77777777"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E93A31">
        <w:rPr>
          <w:noProof/>
        </w:rPr>
        <w:t>3</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E93A31">
        <w:rPr>
          <w:noProof/>
        </w:rPr>
        <w:t>5</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E93A31">
        <w:rPr>
          <w:noProof/>
        </w:rPr>
        <w:t>30</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E93A31">
        <w:rPr>
          <w:noProof/>
        </w:rPr>
        <w:t>31</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E93A31">
        <w:rPr>
          <w:noProof/>
        </w:rPr>
        <w:t>42</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E93A31">
        <w:rPr>
          <w:noProof/>
        </w:rPr>
        <w:t>42</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E93A31">
        <w:rPr>
          <w:noProof/>
        </w:rPr>
        <w:t>57</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E93A31">
        <w:rPr>
          <w:noProof/>
        </w:rPr>
        <w:t>59</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79289843"/>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79289844"/>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4"/>
                        <w:bookmarkEnd w:id="5"/>
                        <w:bookmarkEnd w:id="6"/>
                        <w:bookmarkEnd w:id="7"/>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8"/>
                        <w:bookmarkEnd w:id="9"/>
                        <w:bookmarkEnd w:id="10"/>
                        <w:bookmarkEnd w:id="11"/>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6BC79B2B"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 xml:space="preserve">The CSR\Supervisor\Manager should access </w:t>
                        </w:r>
                        <w:proofErr w:type="gramStart"/>
                        <w:r>
                          <w:rPr>
                            <w:rFonts w:asciiTheme="minorHAnsi" w:hAnsiTheme="minorHAnsi"/>
                            <w:b w:val="0"/>
                            <w:color w:val="000000" w:themeColor="text1"/>
                            <w:sz w:val="20"/>
                            <w:szCs w:val="20"/>
                          </w:rPr>
                          <w:t>the  My</w:t>
                        </w:r>
                        <w:proofErr w:type="gramEnd"/>
                        <w:r>
                          <w:rPr>
                            <w:rFonts w:asciiTheme="minorHAnsi" w:hAnsiTheme="minorHAnsi"/>
                            <w:b w:val="0"/>
                            <w:color w:val="000000" w:themeColor="text1"/>
                            <w:sz w:val="20"/>
                            <w:szCs w:val="20"/>
                          </w:rPr>
                          <w:t xml:space="preserve">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Pr="006E5169"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17ED3861"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77777777"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lastRenderedPageBreak/>
        <w:t>CSR Dashboard</w:t>
      </w:r>
      <w:bookmarkEnd w:id="25"/>
      <w:bookmarkEnd w:id="26"/>
      <w:bookmarkEnd w:id="27"/>
    </w:p>
    <w:p w14:paraId="49E1A5C0" w14:textId="77777777"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8"/>
      <w:bookmarkEnd w:id="29"/>
      <w:bookmarkEnd w:id="30"/>
    </w:p>
    <w:p w14:paraId="6CEFF243" w14:textId="77777777"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77777777"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70C0D77D"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lastRenderedPageBreak/>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lastRenderedPageBreak/>
        <w:t>Support Staff</w:t>
      </w:r>
      <w:r w:rsidRPr="00D0711E">
        <w:rPr>
          <w:rFonts w:asciiTheme="minorHAnsi" w:hAnsiTheme="minorHAnsi" w:cstheme="minorHAnsi"/>
          <w:sz w:val="22"/>
        </w:rPr>
        <w:t xml:space="preserve"> Dashboard</w:t>
      </w:r>
      <w:bookmarkEnd w:id="35"/>
      <w:bookmarkEnd w:id="36"/>
      <w:bookmarkEnd w:id="37"/>
    </w:p>
    <w:p w14:paraId="1A3272D2" w14:textId="7777777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60"/>
        <w:gridCol w:w="1650"/>
        <w:gridCol w:w="2137"/>
        <w:gridCol w:w="2214"/>
        <w:gridCol w:w="2226"/>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77777777" w:rsidR="00D748EC"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numOpportunity</w:t>
            </w:r>
            <w:proofErr w:type="spellEnd"/>
          </w:p>
          <w:p w14:paraId="0ED593D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numReinforcement</w:t>
            </w:r>
            <w:proofErr w:type="spellEnd"/>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Pr="008B307B" w:rsidRDefault="00855F0A" w:rsidP="00855F0A">
      <w:pPr>
        <w:rPr>
          <w:b/>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lastRenderedPageBreak/>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lastRenderedPageBreak/>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w:t>
            </w:r>
            <w:r w:rsidRPr="003E2144">
              <w:rPr>
                <w:rFonts w:cstheme="minorHAnsi"/>
                <w:sz w:val="16"/>
                <w:szCs w:val="16"/>
              </w:rPr>
              <w:lastRenderedPageBreak/>
              <w:t xml:space="preserve">&lt;/strong&gt;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lastRenderedPageBreak/>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CB7FEC"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705B065" w:rsidR="00F637A9" w:rsidRPr="002F7978" w:rsidRDefault="00F637A9" w:rsidP="00F637A9">
      <w:pPr>
        <w:rPr>
          <w:sz w:val="20"/>
          <w:szCs w:val="20"/>
        </w:rPr>
      </w:pPr>
      <w:r w:rsidRPr="002F7978">
        <w:rPr>
          <w:sz w:val="20"/>
          <w:szCs w:val="20"/>
        </w:rPr>
        <w:t xml:space="preserve">IQS Lime </w:t>
      </w:r>
      <w:proofErr w:type="gramStart"/>
      <w:r w:rsidRPr="002F7978">
        <w:rPr>
          <w:sz w:val="20"/>
          <w:szCs w:val="20"/>
        </w:rPr>
        <w:t>Survey  is</w:t>
      </w:r>
      <w:proofErr w:type="gramEnd"/>
      <w:r w:rsidRPr="002F7978">
        <w:rPr>
          <w:sz w:val="20"/>
          <w:szCs w:val="20"/>
        </w:rPr>
        <w:t xml:space="preserve"> the source system for  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CB7FEC"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5B6CA" w14:textId="77777777" w:rsidR="00132CAD" w:rsidRDefault="00132CAD" w:rsidP="0058110C">
      <w:pPr>
        <w:spacing w:after="0" w:line="240" w:lineRule="auto"/>
      </w:pPr>
      <w:r>
        <w:separator/>
      </w:r>
    </w:p>
  </w:endnote>
  <w:endnote w:type="continuationSeparator" w:id="0">
    <w:p w14:paraId="2452FE99" w14:textId="77777777" w:rsidR="00132CAD" w:rsidRDefault="00132CAD"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CB7FEC" w:rsidRDefault="00CB7FEC"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CB7FEC" w:rsidRDefault="00CB7FEC"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4E4432">
      <w:rPr>
        <w:rStyle w:val="PageNumber"/>
        <w:noProof/>
        <w:sz w:val="18"/>
        <w:szCs w:val="18"/>
      </w:rPr>
      <w:t>1</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4E4432">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CB7FEC" w:rsidRDefault="00CB7FEC"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CB7FEC" w:rsidRDefault="00CB7FEC"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E4432">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E4432">
              <w:rPr>
                <w:b/>
                <w:noProof/>
              </w:rPr>
              <w:t>64</w:t>
            </w:r>
            <w:r>
              <w:rPr>
                <w:b/>
                <w:sz w:val="24"/>
                <w:szCs w:val="24"/>
              </w:rPr>
              <w:fldChar w:fldCharType="end"/>
            </w:r>
          </w:p>
        </w:sdtContent>
      </w:sdt>
    </w:sdtContent>
  </w:sdt>
  <w:p w14:paraId="6E63AB7B" w14:textId="77777777" w:rsidR="00CB7FEC" w:rsidRDefault="00CB7F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422D2" w14:textId="77777777" w:rsidR="00132CAD" w:rsidRDefault="00132CAD" w:rsidP="0058110C">
      <w:pPr>
        <w:spacing w:after="0" w:line="240" w:lineRule="auto"/>
      </w:pPr>
      <w:r>
        <w:separator/>
      </w:r>
    </w:p>
  </w:footnote>
  <w:footnote w:type="continuationSeparator" w:id="0">
    <w:p w14:paraId="3B666D20" w14:textId="77777777" w:rsidR="00132CAD" w:rsidRDefault="00132CAD"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CB7FEC" w:rsidRPr="004913FD" w:rsidRDefault="00CB7FEC"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CB7FEC" w:rsidRPr="00B8788F" w:rsidRDefault="00CB7FEC">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Pr>
        <w:rFonts w:ascii="Arial" w:hAnsi="Arial" w:cs="Arial"/>
        <w:color w:val="0569B3"/>
        <w:sz w:val="20"/>
        <w:szCs w:val="20"/>
      </w:rPr>
      <w:t>eCoaching</w:t>
    </w:r>
    <w:proofErr w:type="spellEnd"/>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698A"/>
    <w:rsid w:val="00065CF4"/>
    <w:rsid w:val="00065FD7"/>
    <w:rsid w:val="00086851"/>
    <w:rsid w:val="00097DF8"/>
    <w:rsid w:val="000A38FB"/>
    <w:rsid w:val="000A7CFA"/>
    <w:rsid w:val="000B6B98"/>
    <w:rsid w:val="000B7013"/>
    <w:rsid w:val="000B7EA2"/>
    <w:rsid w:val="000C0F71"/>
    <w:rsid w:val="000C236E"/>
    <w:rsid w:val="000C3DFF"/>
    <w:rsid w:val="000C5DC1"/>
    <w:rsid w:val="000D1E52"/>
    <w:rsid w:val="000D6BA7"/>
    <w:rsid w:val="000D6E73"/>
    <w:rsid w:val="000D75B3"/>
    <w:rsid w:val="000E1025"/>
    <w:rsid w:val="000F6481"/>
    <w:rsid w:val="00101800"/>
    <w:rsid w:val="00104CCD"/>
    <w:rsid w:val="00105B5C"/>
    <w:rsid w:val="00110C92"/>
    <w:rsid w:val="00113040"/>
    <w:rsid w:val="00113A4E"/>
    <w:rsid w:val="00114A93"/>
    <w:rsid w:val="001157A6"/>
    <w:rsid w:val="00117DB0"/>
    <w:rsid w:val="00123583"/>
    <w:rsid w:val="00124971"/>
    <w:rsid w:val="00124C13"/>
    <w:rsid w:val="001300BF"/>
    <w:rsid w:val="00132CAD"/>
    <w:rsid w:val="00136A7D"/>
    <w:rsid w:val="0014162C"/>
    <w:rsid w:val="00141D07"/>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5961"/>
    <w:rsid w:val="00594626"/>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16D4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42BF"/>
    <w:rsid w:val="009549A6"/>
    <w:rsid w:val="00956EB5"/>
    <w:rsid w:val="00960609"/>
    <w:rsid w:val="00960B1C"/>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D018D"/>
    <w:rsid w:val="009D3866"/>
    <w:rsid w:val="009D4767"/>
    <w:rsid w:val="009D5A28"/>
    <w:rsid w:val="009D6620"/>
    <w:rsid w:val="009E0F39"/>
    <w:rsid w:val="009E19F6"/>
    <w:rsid w:val="009F6317"/>
    <w:rsid w:val="00A0108D"/>
    <w:rsid w:val="00A0166F"/>
    <w:rsid w:val="00A032FD"/>
    <w:rsid w:val="00A06562"/>
    <w:rsid w:val="00A069EC"/>
    <w:rsid w:val="00A126CC"/>
    <w:rsid w:val="00A15493"/>
    <w:rsid w:val="00A16554"/>
    <w:rsid w:val="00A16E81"/>
    <w:rsid w:val="00A22A7B"/>
    <w:rsid w:val="00A2793A"/>
    <w:rsid w:val="00A30126"/>
    <w:rsid w:val="00A32376"/>
    <w:rsid w:val="00A351D1"/>
    <w:rsid w:val="00A35851"/>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65627"/>
    <w:rsid w:val="00B66EED"/>
    <w:rsid w:val="00B73412"/>
    <w:rsid w:val="00B73493"/>
    <w:rsid w:val="00B84AF1"/>
    <w:rsid w:val="00B86B65"/>
    <w:rsid w:val="00B8788F"/>
    <w:rsid w:val="00B90E74"/>
    <w:rsid w:val="00B94C90"/>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74B8"/>
    <w:rsid w:val="00CB0AD8"/>
    <w:rsid w:val="00CB1D73"/>
    <w:rsid w:val="00CB306B"/>
    <w:rsid w:val="00CB7DCA"/>
    <w:rsid w:val="00CB7FEC"/>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3F7A"/>
    <w:rsid w:val="00E7633D"/>
    <w:rsid w:val="00E80069"/>
    <w:rsid w:val="00E8728C"/>
    <w:rsid w:val="00E93A31"/>
    <w:rsid w:val="00EA475C"/>
    <w:rsid w:val="00EA685C"/>
    <w:rsid w:val="00EB0ADA"/>
    <w:rsid w:val="00EB2AF9"/>
    <w:rsid w:val="00EB6A8A"/>
    <w:rsid w:val="00EC07C8"/>
    <w:rsid w:val="00EC0D24"/>
    <w:rsid w:val="00EC44C9"/>
    <w:rsid w:val="00EC5B58"/>
    <w:rsid w:val="00EC6459"/>
    <w:rsid w:val="00ED016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A90CD956-9CCE-439D-8E42-2A6745F3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10981</Words>
  <Characters>62598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2</cp:revision>
  <cp:lastPrinted>2014-02-26T20:25:00Z</cp:lastPrinted>
  <dcterms:created xsi:type="dcterms:W3CDTF">2014-07-23T15:15:00Z</dcterms:created>
  <dcterms:modified xsi:type="dcterms:W3CDTF">2014-07-23T15:15:00Z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