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5245EC4" w:rsidR="0025641E" w:rsidRDefault="0082664F" w:rsidP="00B74FEC">
            <w:pPr>
              <w:ind w:left="-12" w:right="-270"/>
              <w:jc w:val="center"/>
              <w:rPr>
                <w:rFonts w:ascii="Times New Roman (PCL6)" w:hAnsi="Times New Roman (PCL6)"/>
              </w:rPr>
            </w:pPr>
            <w:r>
              <w:rPr>
                <w:rFonts w:ascii="Times New Roman (PCL6)" w:hAnsi="Times New Roman (PCL6)"/>
              </w:rPr>
              <w:t>05/</w:t>
            </w:r>
            <w:r w:rsidR="00B74FEC">
              <w:rPr>
                <w:rFonts w:ascii="Times New Roman (PCL6)" w:hAnsi="Times New Roman (PCL6)"/>
              </w:rPr>
              <w:t>16</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BCAE6F6" w:rsidR="0025641E" w:rsidRPr="0016723E" w:rsidRDefault="0082664F" w:rsidP="00B74FEC">
            <w:r>
              <w:t>TFS1</w:t>
            </w:r>
            <w:r w:rsidR="00177ADD">
              <w:t>4</w:t>
            </w:r>
            <w:r w:rsidR="00B74FEC">
              <w:t>401</w:t>
            </w:r>
            <w:r w:rsidR="00177ADD">
              <w:t xml:space="preserve"> –</w:t>
            </w:r>
            <w:r>
              <w:t xml:space="preserve"> </w:t>
            </w:r>
            <w:r w:rsidR="00B74FEC" w:rsidRPr="00B74FEC">
              <w:t>Separate handling of London MSR data files with custom review text for London agents staff</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B74FEC"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B74FEC"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B74FEC"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7777777" w:rsidR="00B74FEC" w:rsidRDefault="00B74FEC" w:rsidP="00B16C13">
            <w:r>
              <w:t xml:space="preserve">TFS 14401- </w:t>
            </w:r>
            <w:r w:rsidRPr="00B74FEC">
              <w:t>Separate handling of London MSR data files with custom review text for London agents staff</w:t>
            </w:r>
          </w:p>
          <w:p w14:paraId="229C40AB" w14:textId="20FD9ECF" w:rsidR="00B74FEC" w:rsidRDefault="006C04F4" w:rsidP="00B16C13">
            <w:r>
              <w:t>3.2.5.3.2 Acknowledgement and Feedback</w:t>
            </w:r>
          </w:p>
          <w:p w14:paraId="51AFA766" w14:textId="5AFF5AA6" w:rsidR="006C04F4" w:rsidRDefault="006C04F4" w:rsidP="00B16C13">
            <w:r>
              <w:t>3.2.5.4.1 Acknowledgement</w:t>
            </w:r>
            <w:bookmarkStart w:id="0" w:name="_GoBack"/>
            <w:bookmarkEnd w:id="0"/>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bookmarkEnd w:id="127"/>
      <w:r w:rsidR="00805C77">
        <w:rPr>
          <w:rFonts w:ascii="Arial" w:hAnsi="Arial"/>
          <w:b/>
          <w:bCs/>
          <w:sz w:val="22"/>
          <w:szCs w:val="22"/>
          <w:u w:val="none"/>
        </w:rPr>
        <w:t>Employee Level</w:t>
      </w:r>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bookmarkEnd w:id="129"/>
      <w:r w:rsidR="00805C77">
        <w:rPr>
          <w:rFonts w:ascii="Arial" w:hAnsi="Arial"/>
          <w:b/>
          <w:bCs/>
          <w:sz w:val="22"/>
          <w:szCs w:val="22"/>
          <w:u w:val="none"/>
        </w:rPr>
        <w:t>Employee Level</w:t>
      </w:r>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bookmarkEnd w:id="131"/>
      <w:r w:rsidR="00805C77">
        <w:rPr>
          <w:rFonts w:ascii="Arial" w:hAnsi="Arial"/>
          <w:b/>
          <w:bCs/>
          <w:sz w:val="22"/>
          <w:szCs w:val="22"/>
          <w:u w:val="none"/>
        </w:rPr>
        <w:t>Employee Level</w:t>
      </w:r>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bookmarkEnd w:id="133"/>
      <w:r w:rsidR="00805C77">
        <w:rPr>
          <w:rFonts w:ascii="Arial" w:hAnsi="Arial"/>
          <w:b/>
          <w:bCs/>
          <w:sz w:val="22"/>
          <w:szCs w:val="22"/>
          <w:u w:val="none"/>
        </w:rPr>
        <w:t>Employee Level</w:t>
      </w:r>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bookmarkEnd w:id="135"/>
      <w:r w:rsidR="00805C77">
        <w:rPr>
          <w:rFonts w:ascii="Arial" w:hAnsi="Arial"/>
          <w:b/>
          <w:bCs/>
          <w:sz w:val="22"/>
          <w:szCs w:val="22"/>
          <w:u w:val="none"/>
        </w:rPr>
        <w:t>Employee Level</w:t>
      </w:r>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6"/>
      <w:r w:rsidR="00805C77">
        <w:rPr>
          <w:rFonts w:ascii="Arial" w:hAnsi="Arial"/>
          <w:b/>
          <w:bCs/>
          <w:sz w:val="22"/>
          <w:szCs w:val="22"/>
          <w:u w:val="none"/>
        </w:rPr>
        <w:t>Employee Level</w:t>
      </w:r>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7"/>
      <w:r w:rsidR="00805C77">
        <w:rPr>
          <w:rFonts w:ascii="Arial" w:hAnsi="Arial"/>
          <w:b/>
          <w:bCs/>
          <w:sz w:val="22"/>
          <w:szCs w:val="22"/>
          <w:u w:val="none"/>
        </w:rPr>
        <w:t>Employee Level</w:t>
      </w:r>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8"/>
      <w:r w:rsidR="00805C77">
        <w:rPr>
          <w:rFonts w:ascii="Arial" w:hAnsi="Arial"/>
          <w:b/>
          <w:bCs/>
          <w:sz w:val="22"/>
          <w:szCs w:val="22"/>
          <w:u w:val="none"/>
        </w:rPr>
        <w:t>Employee Level</w:t>
      </w:r>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9"/>
      <w:r w:rsidR="00805C77">
        <w:rPr>
          <w:rFonts w:ascii="Arial" w:hAnsi="Arial"/>
          <w:b/>
          <w:bCs/>
          <w:sz w:val="22"/>
          <w:szCs w:val="22"/>
          <w:u w:val="none"/>
        </w:rPr>
        <w:t>Employee Level</w:t>
      </w:r>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r w:rsidRPr="000675CA">
        <w:rPr>
          <w:rFonts w:ascii="Arial" w:hAnsi="Arial"/>
          <w:b/>
          <w:bCs/>
          <w:sz w:val="22"/>
          <w:szCs w:val="22"/>
          <w:u w:val="none"/>
        </w:rPr>
        <w:t>3.2.2.</w:t>
      </w:r>
      <w:r>
        <w:rPr>
          <w:rFonts w:ascii="Arial" w:hAnsi="Arial"/>
          <w:b/>
          <w:bCs/>
          <w:sz w:val="22"/>
          <w:szCs w:val="22"/>
          <w:u w:val="none"/>
        </w:rPr>
        <w:t>9 Email Notification for Follow-up</w:t>
      </w:r>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eCL via a data feed. Utilizing the eCL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 xml:space="preserve">Submitted = Begin and End </w:t>
            </w:r>
            <w:r>
              <w:rPr>
                <w:rFonts w:eastAsia="Calibri"/>
              </w:rPr>
              <w:lastRenderedPageBreak/>
              <w:t>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lastRenderedPageBreak/>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lastRenderedPageBreak/>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 xml:space="preserve">Show items in descending order from Created Date or </w:t>
            </w:r>
            <w:r w:rsidRPr="00627B9F">
              <w:rPr>
                <w:rFonts w:eastAsia="Calibri"/>
              </w:rPr>
              <w:lastRenderedPageBreak/>
              <w:t>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lastRenderedPageBreak/>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lastRenderedPageBreak/>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lastRenderedPageBreak/>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lastRenderedPageBreak/>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lastRenderedPageBreak/>
              <w:t xml:space="preserve">Support Staff </w:t>
            </w:r>
            <w:r w:rsidR="0025641E" w:rsidRPr="00627B9F">
              <w:rPr>
                <w:rFonts w:eastAsia="Calibri"/>
              </w:rPr>
              <w:t xml:space="preserve">Name = current </w:t>
            </w:r>
            <w:r w:rsidR="0025641E" w:rsidRPr="00627B9F">
              <w:rPr>
                <w:rFonts w:eastAsia="Calibri"/>
              </w:rPr>
              <w:lastRenderedPageBreak/>
              <w:t>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lastRenderedPageBreak/>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lastRenderedPageBreak/>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w:t>
            </w:r>
            <w:r>
              <w:rPr>
                <w:rFonts w:eastAsia="Calibri"/>
              </w:rPr>
              <w:lastRenderedPageBreak/>
              <w:t>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lastRenderedPageBreak/>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lastRenderedPageBreak/>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lastRenderedPageBreak/>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4"/>
      <w:bookmarkEnd w:id="205"/>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lastRenderedPageBreak/>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lastRenderedPageBreak/>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 xml:space="preserve">Coaching Opportunity was a confirmed Customer Service </w:t>
            </w:r>
            <w:r w:rsidRPr="00627B9F">
              <w:rPr>
                <w:rFonts w:eastAsia="Calibri"/>
              </w:rPr>
              <w:lastRenderedPageBreak/>
              <w:t>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lastRenderedPageBreak/>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64"/>
        <w:gridCol w:w="6089"/>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w:t>
            </w:r>
            <w:r w:rsidRPr="00367641">
              <w:rPr>
                <w:rFonts w:eastAsia="Calibri"/>
              </w:rPr>
              <w:lastRenderedPageBreak/>
              <w:t>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 xml:space="preserve">-If the address is correct, you must </w:t>
            </w:r>
            <w:r>
              <w:lastRenderedPageBreak/>
              <w:t>order a replacement card for the beneficiary using the “Medicare Card” button (even if they don’t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I have read and understand all the information provided on this eCoaching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w:t>
            </w:r>
            <w:r w:rsidRPr="00B74FEC">
              <w:rPr>
                <w:rFonts w:eastAsia="Calibri"/>
              </w:rPr>
              <w:lastRenderedPageBreak/>
              <w:t>Dashboard with you during your next coaching session. An overview of your scores is also contained within the eCL.</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lastRenderedPageBreak/>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B74FEC"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lastRenderedPageBreak/>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 xml:space="preserve">Coaching Opportunity was a </w:t>
            </w:r>
            <w:r w:rsidRPr="00627B9F">
              <w:rPr>
                <w:rFonts w:eastAsia="Calibri"/>
              </w:rPr>
              <w:lastRenderedPageBreak/>
              <w:t>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lastRenderedPageBreak/>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59"/>
        <w:gridCol w:w="6098"/>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lastRenderedPageBreak/>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B74FEC"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your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lastRenderedPageBreak/>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lastRenderedPageBreak/>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lastRenderedPageBreak/>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lastRenderedPageBreak/>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lastRenderedPageBreak/>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lastRenderedPageBreak/>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lastRenderedPageBreak/>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lastRenderedPageBreak/>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lastRenderedPageBreak/>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lastRenderedPageBreak/>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lastRenderedPageBreak/>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lastRenderedPageBreak/>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lastRenderedPageBreak/>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lastRenderedPageBreak/>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lastRenderedPageBreak/>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lastRenderedPageBreak/>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lastRenderedPageBreak/>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lastRenderedPageBreak/>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lastRenderedPageBreak/>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w:t>
            </w:r>
            <w:r>
              <w:rPr>
                <w:rFonts w:eastAsia="Calibri"/>
                <w:sz w:val="22"/>
                <w:szCs w:val="22"/>
              </w:rPr>
              <w:lastRenderedPageBreak/>
              <w:t>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lastRenderedPageBreak/>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lastRenderedPageBreak/>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lastRenderedPageBreak/>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w:t>
            </w:r>
            <w:r w:rsidRPr="00855B29">
              <w:rPr>
                <w:rFonts w:eastAsia="Calibri"/>
                <w:sz w:val="22"/>
                <w:szCs w:val="22"/>
              </w:rPr>
              <w:lastRenderedPageBreak/>
              <w:t xml:space="preserve">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F8FBD" w14:textId="77777777" w:rsidR="003E17B6" w:rsidRDefault="003E17B6">
      <w:r>
        <w:separator/>
      </w:r>
    </w:p>
  </w:endnote>
  <w:endnote w:type="continuationSeparator" w:id="0">
    <w:p w14:paraId="42052C4C" w14:textId="77777777" w:rsidR="003E17B6" w:rsidRDefault="003E17B6">
      <w:r>
        <w:continuationSeparator/>
      </w:r>
    </w:p>
  </w:endnote>
  <w:endnote w:type="continuationNotice" w:id="1">
    <w:p w14:paraId="086038A0" w14:textId="77777777" w:rsidR="003E17B6" w:rsidRDefault="003E1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B74FEC" w:rsidRDefault="00B74F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B74FEC" w:rsidRDefault="00B74F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B74FEC" w:rsidRPr="00BA590C" w:rsidRDefault="00B74FE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B74FEC" w:rsidRPr="00BA590C" w:rsidRDefault="00B74FE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6B3FE08F" w:rsidR="00B74FEC" w:rsidRPr="00732A0E" w:rsidRDefault="00B74FE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C04F4">
      <w:rPr>
        <w:rFonts w:ascii="Arial" w:hAnsi="Arial" w:cs="Arial"/>
        <w:noProof/>
        <w:sz w:val="18"/>
        <w:szCs w:val="18"/>
      </w:rPr>
      <w:t>151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C04F4">
      <w:rPr>
        <w:rFonts w:ascii="Arial" w:hAnsi="Arial" w:cs="Arial"/>
        <w:noProof/>
        <w:sz w:val="18"/>
        <w:szCs w:val="18"/>
      </w:rPr>
      <w:t>152</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77777777" w:rsidR="00B74FEC" w:rsidRDefault="00B74FEC">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D9990" w14:textId="77777777" w:rsidR="003E17B6" w:rsidRDefault="003E17B6">
      <w:r>
        <w:separator/>
      </w:r>
    </w:p>
  </w:footnote>
  <w:footnote w:type="continuationSeparator" w:id="0">
    <w:p w14:paraId="2E764053" w14:textId="77777777" w:rsidR="003E17B6" w:rsidRDefault="003E17B6">
      <w:r>
        <w:continuationSeparator/>
      </w:r>
    </w:p>
  </w:footnote>
  <w:footnote w:type="continuationNotice" w:id="1">
    <w:p w14:paraId="39C7042C" w14:textId="77777777" w:rsidR="003E17B6" w:rsidRDefault="003E17B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B74FEC" w:rsidRPr="0068071B" w:rsidRDefault="00B74FEC"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B74FEC" w:rsidRPr="00732A0E" w:rsidRDefault="00B74FEC"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7777777" w:rsidR="00B74FEC" w:rsidRDefault="00B74FEC">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2838"/>
    <w:rsid w:val="00405B56"/>
    <w:rsid w:val="00406832"/>
    <w:rsid w:val="00410FDB"/>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04F4"/>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6C13"/>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AD3C6-D7C7-4CD1-8799-9B2DBB94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8765</TotalTime>
  <Pages>152</Pages>
  <Words>49092</Words>
  <Characters>279828</Characters>
  <Application>Microsoft Office Word</Application>
  <DocSecurity>0</DocSecurity>
  <Lines>2331</Lines>
  <Paragraphs>656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120</cp:revision>
  <cp:lastPrinted>2018-11-05T14:33:00Z</cp:lastPrinted>
  <dcterms:created xsi:type="dcterms:W3CDTF">2016-01-13T14:29:00Z</dcterms:created>
  <dcterms:modified xsi:type="dcterms:W3CDTF">2019-05-16T15:58:00Z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