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002D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34526E">
            <w:pPr>
              <w:ind w:left="-12" w:right="-270"/>
              <w:jc w:val="center"/>
              <w:rPr>
                <w:rFonts w:ascii="Times New Roman (PCL6)" w:hAnsi="Times New Roman (PCL6)"/>
              </w:rPr>
            </w:pPr>
            <w:r>
              <w:rPr>
                <w:rFonts w:ascii="Times New Roman (PCL6)" w:hAnsi="Times New Roman (PCL6)"/>
              </w:rPr>
              <w:t>0</w:t>
            </w:r>
            <w:r w:rsidR="00697037">
              <w:rPr>
                <w:rFonts w:ascii="Times New Roman (PCL6)" w:hAnsi="Times New Roman (PCL6)"/>
              </w:rPr>
              <w:t>4</w:t>
            </w:r>
            <w:r>
              <w:rPr>
                <w:rFonts w:ascii="Times New Roman (PCL6)" w:hAnsi="Times New Roman (PCL6)"/>
              </w:rPr>
              <w:t>/</w:t>
            </w:r>
            <w:r w:rsidR="00174548">
              <w:rPr>
                <w:rFonts w:ascii="Times New Roman (PCL6)" w:hAnsi="Times New Roman (PCL6)"/>
              </w:rPr>
              <w:t>1</w:t>
            </w:r>
            <w:r w:rsidR="0034526E">
              <w:rPr>
                <w:rFonts w:ascii="Times New Roman (PCL6)" w:hAnsi="Times New Roman (PCL6)"/>
              </w:rPr>
              <w:t>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174548">
            <w:pPr>
              <w:pStyle w:val="hdr1"/>
              <w:spacing w:before="0"/>
              <w:ind w:left="0"/>
              <w:jc w:val="left"/>
              <w:rPr>
                <w:sz w:val="20"/>
              </w:rPr>
            </w:pPr>
            <w:r>
              <w:rPr>
                <w:sz w:val="20"/>
              </w:rPr>
              <w:t>TFS</w:t>
            </w:r>
            <w:r w:rsidR="00174548">
              <w:rPr>
                <w:sz w:val="20"/>
              </w:rPr>
              <w:t>6145</w:t>
            </w:r>
            <w:r>
              <w:rPr>
                <w:sz w:val="20"/>
              </w:rPr>
              <w:t xml:space="preserve"> – eCL </w:t>
            </w:r>
            <w:r w:rsidR="00174548">
              <w:rPr>
                <w:sz w:val="20"/>
              </w:rPr>
              <w:t>Break Feeds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002D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002D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002D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651C60" w:rsidP="00357383">
            <w:pPr>
              <w:pStyle w:val="hdr1"/>
              <w:spacing w:before="0"/>
              <w:ind w:left="0"/>
              <w:jc w:val="left"/>
              <w:rPr>
                <w:sz w:val="20"/>
              </w:rPr>
            </w:pP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79835249"/>
      <w:r>
        <w:rPr>
          <w:rFonts w:ascii="Arial" w:hAnsi="Arial"/>
          <w:kern w:val="0"/>
          <w:sz w:val="24"/>
        </w:rPr>
        <w:t>Table of Contents</w:t>
      </w:r>
      <w:bookmarkEnd w:id="1"/>
      <w:bookmarkEnd w:id="2"/>
      <w:bookmarkEnd w:id="3"/>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79835251"/>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79835252"/>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79835253"/>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79835254"/>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79835255"/>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79835256"/>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79835257"/>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79835258"/>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79835259"/>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79835260"/>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79835261"/>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79835262"/>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79835263"/>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79835264"/>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79835265"/>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79835266"/>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79835267"/>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79835268"/>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79835269"/>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79835270"/>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79835271"/>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79835272"/>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79835273"/>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79835274"/>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79835275"/>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79835276"/>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79835277"/>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79835279"/>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79835285"/>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79835286"/>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51C60">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bl>
    <w:p w:rsidR="00752FC7" w:rsidRDefault="00752FC7" w:rsidP="001E2ED2">
      <w:pPr>
        <w:ind w:left="720" w:firstLine="720"/>
      </w:pPr>
    </w:p>
    <w:p w:rsidR="002B2F1B" w:rsidRDefault="002B2F1B" w:rsidP="002B2F1B">
      <w:pPr>
        <w:ind w:left="1440"/>
      </w:pPr>
      <w:r w:rsidRPr="00752FC7">
        <w:t xml:space="preserve">The </w:t>
      </w:r>
      <w:r>
        <w:t xml:space="preserve">following are the </w:t>
      </w:r>
      <w:r w:rsidRPr="00752FC7">
        <w:t xml:space="preserve">OMR data feed </w:t>
      </w:r>
      <w:r>
        <w:t>reports for manager review in the Supervisor module.</w:t>
      </w:r>
    </w:p>
    <w:p w:rsidR="002B2F1B" w:rsidRDefault="002B2F1B" w:rsidP="002B2F1B">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B2F1B" w:rsidRPr="00166548" w:rsidTr="002B2F1B">
        <w:tc>
          <w:tcPr>
            <w:tcW w:w="234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Report</w:t>
            </w:r>
          </w:p>
        </w:tc>
      </w:tr>
      <w:tr w:rsidR="002B2F1B" w:rsidRPr="00166548" w:rsidTr="002B2F1B">
        <w:tc>
          <w:tcPr>
            <w:tcW w:w="2340" w:type="dxa"/>
            <w:shd w:val="clear" w:color="auto" w:fill="auto"/>
            <w:vAlign w:val="bottom"/>
          </w:tcPr>
          <w:p w:rsidR="002B2F1B" w:rsidRPr="00B17067" w:rsidRDefault="002B2F1B" w:rsidP="002B2F1B">
            <w:pPr>
              <w:rPr>
                <w:rFonts w:eastAsia="Calibri"/>
              </w:rPr>
            </w:pPr>
            <w:r>
              <w:rPr>
                <w:rFonts w:eastAsia="Calibri"/>
                <w:color w:val="000000"/>
              </w:rPr>
              <w:t>MSRS</w:t>
            </w:r>
          </w:p>
        </w:tc>
        <w:tc>
          <w:tcPr>
            <w:tcW w:w="6300" w:type="dxa"/>
            <w:shd w:val="clear" w:color="auto" w:fill="auto"/>
            <w:vAlign w:val="center"/>
          </w:tcPr>
          <w:p w:rsidR="002B2F1B" w:rsidRPr="00B17067" w:rsidRDefault="002B2F1B" w:rsidP="002B2F1B">
            <w:pPr>
              <w:rPr>
                <w:rFonts w:eastAsia="Calibri"/>
              </w:rPr>
            </w:pPr>
            <w:r>
              <w:rPr>
                <w:rFonts w:eastAsia="Calibri"/>
                <w:color w:val="000000"/>
              </w:rPr>
              <w:t>Monthly Scorecard Review - Supervisor</w:t>
            </w:r>
          </w:p>
        </w:tc>
      </w:tr>
    </w:tbl>
    <w:p w:rsidR="002B2F1B" w:rsidRDefault="002B2F1B" w:rsidP="002B2F1B">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BRN</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BRL</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6E6FA5" w:rsidP="0030406B">
            <w:pPr>
              <w:rPr>
                <w:rFonts w:eastAsia="Calibri"/>
                <w:color w:val="000000"/>
              </w:rPr>
            </w:pPr>
            <w:r>
              <w:rPr>
                <w:rFonts w:eastAsia="Calibri"/>
                <w:color w:val="000000"/>
              </w:rPr>
              <w:t>MSRS</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lastRenderedPageBreak/>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lastRenderedPageBreak/>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lastRenderedPageBreak/>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lastRenderedPageBreak/>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lastRenderedPageBreak/>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lastRenderedPageBreak/>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lastRenderedPageBreak/>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lastRenderedPageBreak/>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lastRenderedPageBreak/>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79835301"/>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lastRenderedPageBreak/>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lastRenderedPageBreak/>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lastRenderedPageBreak/>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lastRenderedPageBreak/>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lastRenderedPageBreak/>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lastRenderedPageBreak/>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sidR="00EA2858">
              <w:rPr>
                <w:rFonts w:eastAsia="Calibri"/>
              </w:rPr>
              <w:t xml:space="preserve"> </w:t>
            </w:r>
            <w:r w:rsidR="00EA2858">
              <w:rPr>
                <w:rFonts w:eastAsia="Calibri"/>
              </w:rPr>
              <w:lastRenderedPageBreak/>
              <w:t>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5"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lastRenderedPageBreak/>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51C60" w:rsidP="008D1F78">
      <w:r>
        <w:rPr>
          <w:noProof/>
        </w:rPr>
        <w:lastRenderedPageBreak/>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51C60"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174548"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174548" w:rsidRPr="00367641" w:rsidRDefault="00174548"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Display text when log source is Internal CCO Reporting and report code is HFC</w:t>
            </w:r>
          </w:p>
        </w:tc>
      </w:tr>
      <w:tr w:rsidR="00174548" w:rsidRPr="00367641" w:rsidTr="00174548">
        <w:trPr>
          <w:trHeight w:val="288"/>
        </w:trPr>
        <w:tc>
          <w:tcPr>
            <w:tcW w:w="316" w:type="dxa"/>
            <w:vMerge/>
            <w:tcBorders>
              <w:left w:val="single" w:sz="4" w:space="0" w:color="auto"/>
              <w:right w:val="single" w:sz="4" w:space="0" w:color="auto"/>
            </w:tcBorders>
            <w:shd w:val="clear" w:color="auto" w:fill="B8CCE4"/>
          </w:tcPr>
          <w:p w:rsidR="00174548" w:rsidRPr="00367641" w:rsidRDefault="00174548"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34526E">
            <w:pPr>
              <w:rPr>
                <w:rFonts w:eastAsia="Calibri"/>
              </w:rPr>
            </w:pPr>
            <w:r w:rsidRPr="00174548">
              <w:rPr>
                <w:rFonts w:eastAsia="Calibri"/>
              </w:rPr>
              <w:t xml:space="preserve">You are receiving this eCL record </w:t>
            </w:r>
            <w:r w:rsidRPr="00174548">
              <w:rPr>
                <w:rFonts w:eastAsia="Calibri"/>
              </w:rPr>
              <w:lastRenderedPageBreak/>
              <w:t xml:space="preserve">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bookmarkStart w:id="127" w:name="_GoBack"/>
            <w:bookmarkEnd w:id="127"/>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A96887" w:rsidRPr="00106704" w:rsidRDefault="00106704" w:rsidP="00106704">
      <w:pPr>
        <w:ind w:left="1440"/>
        <w:rPr>
          <w:color w:val="1F497D"/>
        </w:rPr>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r>
        <w:t xml:space="preserve"> </w:t>
      </w:r>
      <w:hyperlink r:id="rId18" w:history="1">
        <w:r>
          <w:rPr>
            <w:rStyle w:val="Hyperlink"/>
          </w:rPr>
          <w:t>https://cco.gdit.com/bi/ReportsCatalog/BreakPolicyReporting/Forms/AllItems.aspx</w:t>
        </w:r>
      </w:hyperlink>
      <w:r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lastRenderedPageBreak/>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w:t>
            </w:r>
            <w:r w:rsidRPr="00627B9F">
              <w:rPr>
                <w:rFonts w:eastAsia="Calibri"/>
              </w:rPr>
              <w:lastRenderedPageBreak/>
              <w:t>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lastRenderedPageBreak/>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002D4"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lastRenderedPageBreak/>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lastRenderedPageBreak/>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lastRenderedPageBreak/>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lastRenderedPageBreak/>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lastRenderedPageBreak/>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lastRenderedPageBreak/>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lastRenderedPageBreak/>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51C60">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lastRenderedPageBreak/>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lastRenderedPageBreak/>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lastRenderedPageBreak/>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lastRenderedPageBreak/>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7"/>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w:t>
            </w:r>
            <w:r w:rsidRPr="001530FE">
              <w:rPr>
                <w:rFonts w:eastAsia="Calibri"/>
                <w:sz w:val="22"/>
                <w:szCs w:val="22"/>
              </w:rPr>
              <w:lastRenderedPageBreak/>
              <w:t xml:space="preserve">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2D4" w:rsidRDefault="003002D4">
      <w:r>
        <w:separator/>
      </w:r>
    </w:p>
  </w:endnote>
  <w:endnote w:type="continuationSeparator" w:id="0">
    <w:p w:rsidR="003002D4" w:rsidRDefault="0030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1745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4548" w:rsidRDefault="001745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BA590C" w:rsidRDefault="001745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74548" w:rsidRPr="00BA590C" w:rsidRDefault="0017454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74548" w:rsidRPr="00732A0E" w:rsidRDefault="001745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51C60">
      <w:rPr>
        <w:rFonts w:ascii="Arial" w:hAnsi="Arial" w:cs="Arial"/>
        <w:noProof/>
        <w:sz w:val="18"/>
        <w:szCs w:val="18"/>
      </w:rPr>
      <w:t>91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51C60">
      <w:rPr>
        <w:rFonts w:ascii="Arial" w:hAnsi="Arial" w:cs="Arial"/>
        <w:noProof/>
        <w:sz w:val="18"/>
        <w:szCs w:val="18"/>
      </w:rPr>
      <w:t>115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3002D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74548">
      <w:rPr>
        <w:b/>
        <w:noProof/>
      </w:rPr>
      <w:t xml:space="preserve">Templates - </w:t>
    </w:r>
    <w:r w:rsidR="00174548">
      <w:rPr>
        <w:rStyle w:val="PageNumber"/>
        <w:b/>
      </w:rPr>
      <w:fldChar w:fldCharType="begin"/>
    </w:r>
    <w:r w:rsidR="00174548">
      <w:rPr>
        <w:rStyle w:val="PageNumber"/>
        <w:b/>
      </w:rPr>
      <w:instrText xml:space="preserve"> PAGE </w:instrText>
    </w:r>
    <w:r w:rsidR="00174548">
      <w:rPr>
        <w:rStyle w:val="PageNumber"/>
        <w:b/>
      </w:rPr>
      <w:fldChar w:fldCharType="separate"/>
    </w:r>
    <w:r w:rsidR="00174548">
      <w:rPr>
        <w:rStyle w:val="PageNumber"/>
        <w:b/>
        <w:noProof/>
      </w:rPr>
      <w:t>1</w:t>
    </w:r>
    <w:r w:rsidR="0017454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2D4" w:rsidRDefault="003002D4">
      <w:r>
        <w:separator/>
      </w:r>
    </w:p>
  </w:footnote>
  <w:footnote w:type="continuationSeparator" w:id="0">
    <w:p w:rsidR="003002D4" w:rsidRDefault="00300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68071B" w:rsidRDefault="00174548" w:rsidP="008773BA">
    <w:pPr>
      <w:pStyle w:val="Header"/>
      <w:tabs>
        <w:tab w:val="left" w:pos="3115"/>
        <w:tab w:val="right" w:pos="9720"/>
      </w:tabs>
      <w:jc w:val="left"/>
      <w:rPr>
        <w:szCs w:val="18"/>
      </w:rPr>
    </w:pPr>
    <w:r>
      <w:rPr>
        <w:szCs w:val="18"/>
      </w:rPr>
      <w:tab/>
    </w:r>
    <w:r>
      <w:rPr>
        <w:szCs w:val="18"/>
      </w:rPr>
      <w:tab/>
    </w:r>
    <w:r>
      <w:rPr>
        <w:szCs w:val="18"/>
      </w:rPr>
      <w:tab/>
    </w:r>
    <w:r w:rsidR="003002D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74548" w:rsidRPr="00732A0E" w:rsidRDefault="001745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3002D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74548">
      <w:tab/>
    </w:r>
    <w:r w:rsidR="0017454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564E2"/>
    <w:rsid w:val="007618D4"/>
    <w:rsid w:val="007619CF"/>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664B"/>
    <w:rsid w:val="00E137B7"/>
    <w:rsid w:val="00E20D3C"/>
    <w:rsid w:val="00E2435D"/>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B3249-055E-458B-A666-86FCC8C8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115</Pages>
  <Words>36801</Words>
  <Characters>209772</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295</cp:revision>
  <cp:lastPrinted>2017-03-20T13:20:00Z</cp:lastPrinted>
  <dcterms:created xsi:type="dcterms:W3CDTF">2016-01-13T14:29:00Z</dcterms:created>
  <dcterms:modified xsi:type="dcterms:W3CDTF">2017-04-14T19:11:00Z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