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4CB8BAC5"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167A2E">
        <w:rPr>
          <w:rFonts w:ascii="Arial" w:hAnsi="Arial"/>
          <w:b/>
          <w:color w:val="000000" w:themeColor="text1"/>
          <w:sz w:val="28"/>
        </w:rPr>
        <w:t>2</w:t>
      </w:r>
      <w:r w:rsidR="003646E8">
        <w:rPr>
          <w:rFonts w:ascii="Arial" w:hAnsi="Arial"/>
          <w:b/>
          <w:color w:val="000000" w:themeColor="text1"/>
          <w:sz w:val="28"/>
        </w:rPr>
        <w:t>.</w:t>
      </w:r>
      <w:r w:rsidR="004E4432">
        <w:rPr>
          <w:rFonts w:ascii="Arial" w:hAnsi="Arial"/>
          <w:b/>
          <w:color w:val="000000" w:themeColor="text1"/>
          <w:sz w:val="28"/>
        </w:rPr>
        <w:t>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690"/>
      </w:tblGrid>
      <w:tr w:rsidR="008747B8" w:rsidRPr="00415CBB" w14:paraId="14C04ED9" w14:textId="77777777" w:rsidTr="00952E33">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69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952E33">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4A07882B" w:rsidR="00167A2E" w:rsidRDefault="00167A2E" w:rsidP="00952E3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w:t>
            </w:r>
            <w:r w:rsidR="00CB7FEC">
              <w:rPr>
                <w:rFonts w:ascii="Times New Roman (PCL6)" w:hAnsi="Times New Roman (PCL6)"/>
                <w:color w:val="000000" w:themeColor="text1"/>
                <w:sz w:val="20"/>
              </w:rPr>
              <w:t>2</w:t>
            </w:r>
            <w:r w:rsidR="00952E33">
              <w:rPr>
                <w:rFonts w:ascii="Times New Roman (PCL6)" w:hAnsi="Times New Roman (PCL6)"/>
                <w:color w:val="000000" w:themeColor="text1"/>
                <w:sz w:val="20"/>
              </w:rPr>
              <w:t>4</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690" w:type="dxa"/>
            <w:tcBorders>
              <w:top w:val="single" w:sz="12" w:space="0" w:color="auto"/>
              <w:bottom w:val="single" w:sz="12" w:space="0" w:color="auto"/>
              <w:right w:val="single" w:sz="6" w:space="0" w:color="auto"/>
            </w:tcBorders>
          </w:tcPr>
          <w:p w14:paraId="2DEEA006" w14:textId="209EC20D" w:rsidR="00167A2E" w:rsidRDefault="00952E33"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 xml:space="preserve">P13138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restrict notifications of failed scorecards</w:t>
            </w:r>
          </w:p>
        </w:tc>
      </w:tr>
    </w:tbl>
    <w:p w14:paraId="3ECE7BFD" w14:textId="1253A2B7" w:rsidR="008747B8" w:rsidRPr="00A525FE" w:rsidRDefault="0072257E"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72257E"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bl>
    <w:p w14:paraId="1A51E9F4" w14:textId="20629EBB"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952E33">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952E33">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952E33">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952E33">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952E33">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952E33">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952E33">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952E33">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4" w:name="_Toc335259524"/>
      <w:bookmarkStart w:id="25" w:name="_Toc340500959"/>
      <w:bookmarkStart w:id="26" w:name="_Toc379289852"/>
      <w:r w:rsidRPr="0045631D">
        <w:rPr>
          <w:rFonts w:asciiTheme="minorHAnsi" w:hAnsiTheme="minorHAnsi" w:cstheme="minorHAnsi"/>
          <w:sz w:val="22"/>
        </w:rPr>
        <w:lastRenderedPageBreak/>
        <w:t>CSR Dashboard</w:t>
      </w:r>
      <w:bookmarkEnd w:id="24"/>
      <w:bookmarkEnd w:id="25"/>
      <w:bookmarkEnd w:id="26"/>
    </w:p>
    <w:p w14:paraId="49E1A5C0" w14:textId="77777777"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7" w:name="_Toc335259525"/>
      <w:bookmarkStart w:id="28" w:name="_Toc340500960"/>
      <w:bookmarkStart w:id="29"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7"/>
      <w:bookmarkEnd w:id="28"/>
      <w:bookmarkEnd w:id="29"/>
    </w:p>
    <w:p w14:paraId="6CEFF243" w14:textId="77777777"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0" w:name="_Toc335259526"/>
      <w:bookmarkStart w:id="31" w:name="_Toc340500961"/>
      <w:bookmarkStart w:id="32"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0"/>
      <w:bookmarkEnd w:id="31"/>
      <w:r w:rsidR="00EB0ADA">
        <w:rPr>
          <w:rFonts w:asciiTheme="minorHAnsi" w:hAnsiTheme="minorHAnsi" w:cstheme="minorHAnsi"/>
          <w:sz w:val="22"/>
        </w:rPr>
        <w:t>d</w:t>
      </w:r>
      <w:bookmarkEnd w:id="32"/>
    </w:p>
    <w:p w14:paraId="72913F3D" w14:textId="77777777"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3" w:name="_Toc379289855"/>
      <w:bookmarkStart w:id="34" w:name="_Toc335259527"/>
      <w:bookmarkStart w:id="35"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3"/>
    </w:p>
    <w:p w14:paraId="593178E6" w14:textId="70C0D77D"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lastRenderedPageBreak/>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6" w:name="_Toc379289856"/>
      <w:r>
        <w:rPr>
          <w:rFonts w:asciiTheme="minorHAnsi" w:hAnsiTheme="minorHAnsi" w:cstheme="minorHAnsi"/>
          <w:sz w:val="22"/>
        </w:rPr>
        <w:lastRenderedPageBreak/>
        <w:t>Support Staff</w:t>
      </w:r>
      <w:r w:rsidRPr="00D0711E">
        <w:rPr>
          <w:rFonts w:asciiTheme="minorHAnsi" w:hAnsiTheme="minorHAnsi" w:cstheme="minorHAnsi"/>
          <w:sz w:val="22"/>
        </w:rPr>
        <w:t xml:space="preserve"> Dashboard</w:t>
      </w:r>
      <w:bookmarkEnd w:id="34"/>
      <w:bookmarkEnd w:id="35"/>
      <w:bookmarkEnd w:id="36"/>
    </w:p>
    <w:p w14:paraId="1A3272D2" w14:textId="7777777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7" w:name="_Toc335259528"/>
      <w:bookmarkStart w:id="38" w:name="_Toc340500963"/>
      <w:bookmarkStart w:id="39" w:name="_Toc379289857"/>
      <w:r w:rsidRPr="00F131FB">
        <w:rPr>
          <w:rFonts w:asciiTheme="minorHAnsi" w:hAnsiTheme="minorHAnsi" w:cstheme="minorHAnsi"/>
          <w:sz w:val="22"/>
          <w:szCs w:val="22"/>
        </w:rPr>
        <w:t>Historical Reporting Dashboard</w:t>
      </w:r>
      <w:bookmarkEnd w:id="37"/>
      <w:bookmarkEnd w:id="38"/>
      <w:bookmarkEnd w:id="39"/>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60"/>
        <w:gridCol w:w="1650"/>
        <w:gridCol w:w="2137"/>
        <w:gridCol w:w="2214"/>
        <w:gridCol w:w="2226"/>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77777777" w:rsidR="00D748EC"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numOpportunity</w:t>
            </w:r>
            <w:proofErr w:type="spellEnd"/>
          </w:p>
          <w:p w14:paraId="0ED593D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numReinforcement</w:t>
            </w:r>
            <w:proofErr w:type="spellEnd"/>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0" w:name="_Toc340500964"/>
      <w:bookmarkStart w:id="41" w:name="_Toc379289858"/>
      <w:r w:rsidRPr="00855F0A">
        <w:rPr>
          <w:color w:val="000000" w:themeColor="text1"/>
        </w:rPr>
        <w:t>System Generated Emails</w:t>
      </w:r>
      <w:bookmarkEnd w:id="40"/>
      <w:bookmarkEnd w:id="41"/>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2" w:name="_Toc335259530"/>
      <w:bookmarkStart w:id="43" w:name="_Toc340500965"/>
      <w:bookmarkStart w:id="44" w:name="_Toc379289859"/>
      <w:r w:rsidRPr="00855F0A">
        <w:rPr>
          <w:rFonts w:asciiTheme="minorHAnsi" w:hAnsiTheme="minorHAnsi" w:cstheme="minorHAnsi"/>
          <w:sz w:val="22"/>
        </w:rPr>
        <w:t>Pending Supervisor Review</w:t>
      </w:r>
      <w:bookmarkEnd w:id="42"/>
      <w:bookmarkEnd w:id="43"/>
      <w:bookmarkEnd w:id="44"/>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 xml:space="preserve">Form </w:t>
            </w:r>
            <w:r>
              <w:rPr>
                <w:rFonts w:cstheme="minorHAnsi"/>
                <w:b/>
                <w:color w:val="FFFFFF" w:themeColor="background1"/>
                <w:sz w:val="18"/>
                <w:szCs w:val="16"/>
              </w:rPr>
              <w:lastRenderedPageBreak/>
              <w:t>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lastRenderedPageBreak/>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5" w:name="_Toc335259531"/>
      <w:bookmarkStart w:id="46"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7" w:name="_Toc379289860"/>
      <w:r>
        <w:rPr>
          <w:rFonts w:asciiTheme="minorHAnsi" w:hAnsiTheme="minorHAnsi" w:cstheme="minorHAnsi"/>
          <w:sz w:val="22"/>
        </w:rPr>
        <w:t>Pending Manager Review</w:t>
      </w:r>
      <w:bookmarkEnd w:id="45"/>
      <w:bookmarkEnd w:id="46"/>
      <w:bookmarkEnd w:id="47"/>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8" w:name="_Toc335259532"/>
      <w:bookmarkStart w:id="49" w:name="_Toc340500967"/>
      <w:bookmarkStart w:id="50" w:name="_Toc379289861"/>
      <w:r>
        <w:rPr>
          <w:rFonts w:asciiTheme="minorHAnsi" w:hAnsiTheme="minorHAnsi" w:cstheme="minorHAnsi"/>
          <w:sz w:val="22"/>
        </w:rPr>
        <w:t>Pending CSR Revie</w:t>
      </w:r>
      <w:bookmarkEnd w:id="48"/>
      <w:bookmarkEnd w:id="49"/>
      <w:r w:rsidR="003A0570">
        <w:rPr>
          <w:rFonts w:asciiTheme="minorHAnsi" w:hAnsiTheme="minorHAnsi" w:cstheme="minorHAnsi"/>
          <w:sz w:val="22"/>
        </w:rPr>
        <w:t>w</w:t>
      </w:r>
      <w:bookmarkEnd w:id="50"/>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1" w:name="_Toc335259533"/>
      <w:bookmarkStart w:id="52" w:name="_Toc340500968"/>
      <w:bookmarkStart w:id="53" w:name="_Toc379289862"/>
      <w:r>
        <w:rPr>
          <w:rFonts w:asciiTheme="minorHAnsi" w:hAnsiTheme="minorHAnsi" w:cstheme="minorHAnsi"/>
          <w:sz w:val="22"/>
        </w:rPr>
        <w:t>No Email</w:t>
      </w:r>
      <w:bookmarkEnd w:id="51"/>
      <w:bookmarkEnd w:id="52"/>
      <w:bookmarkEnd w:id="53"/>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4" w:name="_Toc335259534"/>
      <w:bookmarkStart w:id="55" w:name="_Toc379289863"/>
      <w:r>
        <w:rPr>
          <w:rFonts w:asciiTheme="minorHAnsi" w:hAnsiTheme="minorHAnsi" w:cstheme="minorHAnsi"/>
          <w:sz w:val="22"/>
        </w:rPr>
        <w:t>Email Format</w:t>
      </w:r>
      <w:bookmarkEnd w:id="54"/>
      <w:bookmarkEnd w:id="55"/>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6" w:name="_Toc379289864"/>
      <w:r w:rsidRPr="006278E8">
        <w:t>Outliers (Data Feed\Form Entry)</w:t>
      </w:r>
      <w:bookmarkEnd w:id="56"/>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7" w:name="_Toc340500971"/>
      <w:bookmarkStart w:id="58"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7"/>
      <w:bookmarkEnd w:id="58"/>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9" w:name="_Toc340500972"/>
      <w:bookmarkStart w:id="60"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59"/>
      <w:bookmarkEnd w:id="60"/>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1" w:name="_Toc340500973"/>
      <w:bookmarkStart w:id="62"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1"/>
      <w:bookmarkEnd w:id="62"/>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3" w:name="_Toc340500974"/>
      <w:bookmarkStart w:id="64" w:name="_Toc379289868"/>
      <w:r>
        <w:rPr>
          <w:rFonts w:asciiTheme="minorHAnsi" w:hAnsiTheme="minorHAnsi" w:cstheme="minorHAnsi"/>
          <w:sz w:val="22"/>
        </w:rPr>
        <w:t>Outlier Reporting Matrix</w:t>
      </w:r>
      <w:bookmarkEnd w:id="63"/>
      <w:bookmarkEnd w:id="64"/>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72257E"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5" w:name="_Toc379289869"/>
      <w:r>
        <w:t>IQS</w:t>
      </w:r>
      <w:r w:rsidRPr="006278E8">
        <w:t xml:space="preserve"> (Data Feed\Form Entry)</w:t>
      </w:r>
      <w:bookmarkEnd w:id="65"/>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t>
      </w:r>
      <w:bookmarkStart w:id="66" w:name="_GoBack"/>
      <w:r w:rsidR="000C18FA">
        <w:rPr>
          <w:sz w:val="20"/>
          <w:szCs w:val="20"/>
        </w:rPr>
        <w:t xml:space="preserve">will not </w:t>
      </w:r>
      <w:r>
        <w:rPr>
          <w:sz w:val="20"/>
          <w:szCs w:val="20"/>
        </w:rPr>
        <w:t>be load</w:t>
      </w:r>
      <w:bookmarkEnd w:id="66"/>
      <w:r>
        <w:rPr>
          <w:sz w:val="20"/>
          <w:szCs w:val="20"/>
        </w:rPr>
        <w:t>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72257E"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68752" w14:textId="77777777" w:rsidR="0072257E" w:rsidRDefault="0072257E" w:rsidP="0058110C">
      <w:pPr>
        <w:spacing w:after="0" w:line="240" w:lineRule="auto"/>
      </w:pPr>
      <w:r>
        <w:separator/>
      </w:r>
    </w:p>
  </w:endnote>
  <w:endnote w:type="continuationSeparator" w:id="0">
    <w:p w14:paraId="13EBF2A8" w14:textId="77777777" w:rsidR="0072257E" w:rsidRDefault="0072257E"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1C3C1E" w:rsidRDefault="001C3C1E"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1C3C1E" w:rsidRDefault="001C3C1E"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9B46F2">
      <w:rPr>
        <w:rStyle w:val="PageNumber"/>
        <w:noProof/>
        <w:sz w:val="18"/>
        <w:szCs w:val="18"/>
      </w:rPr>
      <w:t>54</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9B46F2">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1C3C1E" w:rsidRDefault="001C3C1E"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1C3C1E" w:rsidRDefault="001C3C1E"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81DAF">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81DAF">
              <w:rPr>
                <w:b/>
                <w:noProof/>
              </w:rPr>
              <w:t>64</w:t>
            </w:r>
            <w:r>
              <w:rPr>
                <w:b/>
                <w:sz w:val="24"/>
                <w:szCs w:val="24"/>
              </w:rPr>
              <w:fldChar w:fldCharType="end"/>
            </w:r>
          </w:p>
        </w:sdtContent>
      </w:sdt>
    </w:sdtContent>
  </w:sdt>
  <w:p w14:paraId="6E63AB7B" w14:textId="77777777" w:rsidR="001C3C1E" w:rsidRDefault="001C3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E1CEF" w14:textId="77777777" w:rsidR="0072257E" w:rsidRDefault="0072257E" w:rsidP="0058110C">
      <w:pPr>
        <w:spacing w:after="0" w:line="240" w:lineRule="auto"/>
      </w:pPr>
      <w:r>
        <w:separator/>
      </w:r>
    </w:p>
  </w:footnote>
  <w:footnote w:type="continuationSeparator" w:id="0">
    <w:p w14:paraId="387CD470" w14:textId="77777777" w:rsidR="0072257E" w:rsidRDefault="0072257E"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1C3C1E" w:rsidRPr="004913FD" w:rsidRDefault="001C3C1E"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1C3C1E" w:rsidRPr="00B8788F" w:rsidRDefault="0072257E">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1C3C1E">
      <w:rPr>
        <w:rFonts w:ascii="Arial" w:hAnsi="Arial" w:cs="Arial"/>
        <w:color w:val="0569B3"/>
        <w:sz w:val="20"/>
        <w:szCs w:val="20"/>
      </w:rPr>
      <w:t>eCoaching</w:t>
    </w:r>
    <w:proofErr w:type="spellEnd"/>
    <w:proofErr w:type="gramEnd"/>
    <w:r w:rsidR="001C3C1E">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498B"/>
    <w:rsid w:val="0005698A"/>
    <w:rsid w:val="00065CF4"/>
    <w:rsid w:val="00065FD7"/>
    <w:rsid w:val="00086851"/>
    <w:rsid w:val="00097DF8"/>
    <w:rsid w:val="000A38FB"/>
    <w:rsid w:val="000A7CFA"/>
    <w:rsid w:val="000B6B98"/>
    <w:rsid w:val="000B7013"/>
    <w:rsid w:val="000B7EA2"/>
    <w:rsid w:val="000C0F71"/>
    <w:rsid w:val="000C18FA"/>
    <w:rsid w:val="000C236E"/>
    <w:rsid w:val="000C3DFF"/>
    <w:rsid w:val="000C5DC1"/>
    <w:rsid w:val="000D1E52"/>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3583"/>
    <w:rsid w:val="00124971"/>
    <w:rsid w:val="00124C13"/>
    <w:rsid w:val="001300BF"/>
    <w:rsid w:val="00132CAD"/>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3C1E"/>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1DAF"/>
    <w:rsid w:val="00585961"/>
    <w:rsid w:val="00594626"/>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16D46"/>
    <w:rsid w:val="0072257E"/>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2E33"/>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B46F2"/>
    <w:rsid w:val="009D018D"/>
    <w:rsid w:val="009D3866"/>
    <w:rsid w:val="009D4767"/>
    <w:rsid w:val="009D5A28"/>
    <w:rsid w:val="009D6620"/>
    <w:rsid w:val="009E0F39"/>
    <w:rsid w:val="009E19F6"/>
    <w:rsid w:val="009F6317"/>
    <w:rsid w:val="00A0108D"/>
    <w:rsid w:val="00A0166F"/>
    <w:rsid w:val="00A032FD"/>
    <w:rsid w:val="00A03BDB"/>
    <w:rsid w:val="00A06562"/>
    <w:rsid w:val="00A069EC"/>
    <w:rsid w:val="00A126CC"/>
    <w:rsid w:val="00A15493"/>
    <w:rsid w:val="00A16554"/>
    <w:rsid w:val="00A16E81"/>
    <w:rsid w:val="00A22A7B"/>
    <w:rsid w:val="00A2793A"/>
    <w:rsid w:val="00A30126"/>
    <w:rsid w:val="00A32376"/>
    <w:rsid w:val="00A351D1"/>
    <w:rsid w:val="00A35851"/>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B7FEC"/>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1A2E02D-04AB-4FC1-8042-C613AF38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64</Pages>
  <Words>11092</Words>
  <Characters>63231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6</cp:revision>
  <cp:lastPrinted>2014-07-24T20:04:00Z</cp:lastPrinted>
  <dcterms:created xsi:type="dcterms:W3CDTF">2014-07-23T15:15:00Z</dcterms:created>
  <dcterms:modified xsi:type="dcterms:W3CDTF">2014-07-25T19:09:00Z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