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D3155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D31555">
            <w:pPr>
              <w:ind w:left="-12" w:right="-270"/>
              <w:jc w:val="center"/>
              <w:rPr>
                <w:rFonts w:ascii="Times New Roman (PCL6)" w:hAnsi="Times New Roman (PCL6)"/>
              </w:rPr>
            </w:pPr>
            <w:r>
              <w:rPr>
                <w:rFonts w:ascii="Times New Roman (PCL6)" w:hAnsi="Times New Roman (PCL6)"/>
              </w:rPr>
              <w:t>0</w:t>
            </w:r>
            <w:r w:rsidR="005E6975">
              <w:rPr>
                <w:rFonts w:ascii="Times New Roman (PCL6)" w:hAnsi="Times New Roman (PCL6)"/>
              </w:rPr>
              <w:t>7</w:t>
            </w:r>
            <w:r>
              <w:rPr>
                <w:rFonts w:ascii="Times New Roman (PCL6)" w:hAnsi="Times New Roman (PCL6)"/>
              </w:rPr>
              <w:t>/</w:t>
            </w:r>
            <w:r w:rsidR="00D31555">
              <w:rPr>
                <w:rFonts w:ascii="Times New Roman (PCL6)" w:hAnsi="Times New Roman (PCL6)"/>
              </w:rPr>
              <w:t>26</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5E6975" w:rsidRDefault="005770FA" w:rsidP="00D31555">
            <w:pPr>
              <w:ind w:right="-270"/>
              <w:rPr>
                <w:rFonts w:ascii="Times New Roman (PCL6)" w:hAnsi="Times New Roman (PCL6)"/>
              </w:rPr>
            </w:pPr>
            <w:r>
              <w:rPr>
                <w:rFonts w:ascii="Times New Roman (PCL6)" w:hAnsi="Times New Roman (PCL6)"/>
              </w:rPr>
              <w:t>TFS3</w:t>
            </w:r>
            <w:r w:rsidR="00D31555">
              <w:rPr>
                <w:rFonts w:ascii="Times New Roman (PCL6)" w:hAnsi="Times New Roman (PCL6)"/>
              </w:rPr>
              <w:t>179</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D31555">
              <w:rPr>
                <w:rFonts w:ascii="Times New Roman (PCL6)" w:hAnsi="Times New Roman (PCL6)"/>
              </w:rPr>
              <w:t>KUD data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D31555">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D31555"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D31555">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bookmarkStart w:id="0" w:name="_GoBack"/>
            <w:bookmarkEnd w:id="0"/>
          </w:p>
        </w:tc>
        <w:tc>
          <w:tcPr>
            <w:tcW w:w="2790" w:type="dxa"/>
          </w:tcPr>
          <w:p w:rsidR="00D31555" w:rsidRDefault="00D31555"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D31555">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lastRenderedPageBreak/>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lastRenderedPageBreak/>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lastRenderedPageBreak/>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lastRenderedPageBreak/>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lastRenderedPageBreak/>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lastRenderedPageBreak/>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lastRenderedPageBreak/>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D31555" w:rsidP="001E33F8">
            <w:r>
              <w:t>No text description will be included in the report input file, therefore the report details will be blank</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lastRenderedPageBreak/>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lastRenderedPageBreak/>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lastRenderedPageBreak/>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lastRenderedPageBreak/>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 xml:space="preserve">Role = Supervisor (job code </w:t>
            </w:r>
            <w:r w:rsidRPr="00627B9F">
              <w:rPr>
                <w:rFonts w:eastAsia="Calibri"/>
              </w:rPr>
              <w:lastRenderedPageBreak/>
              <w:t>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lastRenderedPageBreak/>
        <w:t>eCoaching</w:t>
      </w:r>
      <w:proofErr w:type="spellEnd"/>
      <w:r w:rsidRPr="00202BA6">
        <w:t xml:space="preserve"> logs and Warning logs of those employees in their reporting structure, even if not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w:t>
            </w:r>
            <w:r w:rsidRPr="00627B9F">
              <w:rPr>
                <w:rFonts w:eastAsia="Calibri"/>
              </w:rPr>
              <w:lastRenderedPageBreak/>
              <w:t>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D31555"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Coaching log then display the related coaching reasons, </w:t>
            </w:r>
            <w:r w:rsidRPr="00627B9F">
              <w:rPr>
                <w:rFonts w:eastAsia="Calibri"/>
              </w:rPr>
              <w:lastRenderedPageBreak/>
              <w:t>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D31555"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 xml:space="preserve">Status becomes Pending Supervisor Review when Supervisor has not </w:t>
            </w:r>
            <w:r>
              <w:rPr>
                <w:rFonts w:eastAsia="Calibri"/>
              </w:rPr>
              <w:lastRenderedPageBreak/>
              <w:t>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w:t>
      </w:r>
      <w:r>
        <w:rPr>
          <w:b/>
        </w:rPr>
        <w:t>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2A059E">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 xml:space="preserve">Status becomes Pending Employee Review if Supervisor has not </w:t>
            </w:r>
            <w:r>
              <w:rPr>
                <w:rFonts w:eastAsia="Calibri"/>
              </w:rPr>
              <w:lastRenderedPageBreak/>
              <w:t>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2. Based off of your research does this </w:t>
            </w:r>
            <w:r w:rsidRPr="00627B9F">
              <w:rPr>
                <w:rFonts w:eastAsia="Calibri"/>
              </w:rPr>
              <w:lastRenderedPageBreak/>
              <w:t>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lastRenderedPageBreak/>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w:t>
            </w:r>
            <w:r w:rsidRPr="00655648">
              <w:rPr>
                <w:rFonts w:eastAsia="Calibri"/>
              </w:rPr>
              <w:lastRenderedPageBreak/>
              <w:t xml:space="preserve">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D31555"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lastRenderedPageBreak/>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lastRenderedPageBreak/>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lastRenderedPageBreak/>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lastRenderedPageBreak/>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lastRenderedPageBreak/>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lastRenderedPageBreak/>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lastRenderedPageBreak/>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lastRenderedPageBreak/>
        <w:t>3.2.</w:t>
      </w:r>
      <w:r>
        <w:rPr>
          <w:b/>
        </w:rPr>
        <w:t>7.1.5.7</w:t>
      </w:r>
      <w:r w:rsidRPr="004E4DE2">
        <w:rPr>
          <w:b/>
        </w:rPr>
        <w:tab/>
      </w:r>
      <w:r>
        <w:rPr>
          <w:b/>
        </w:rPr>
        <w:t>Warning Logs</w:t>
      </w:r>
    </w:p>
    <w:p w:rsidR="00F473C0" w:rsidRDefault="00F473C0" w:rsidP="00F473C0">
      <w:pPr>
        <w:ind w:left="1440"/>
      </w:pPr>
      <w:r>
        <w:t>Warning logs may not be reassigned.</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lastRenderedPageBreak/>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D31555">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lastRenderedPageBreak/>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lastRenderedPageBreak/>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3E0" w:rsidRDefault="009513E0">
      <w:r>
        <w:separator/>
      </w:r>
    </w:p>
  </w:endnote>
  <w:endnote w:type="continuationSeparator" w:id="0">
    <w:p w:rsidR="009513E0" w:rsidRDefault="0095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55" w:rsidRDefault="00D315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1555" w:rsidRDefault="00D315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55" w:rsidRPr="00BA590C" w:rsidRDefault="00D31555"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D31555" w:rsidRPr="00BA590C" w:rsidRDefault="00D31555"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D31555" w:rsidRPr="00732A0E" w:rsidRDefault="00D31555"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D14B67">
      <w:rPr>
        <w:rFonts w:ascii="Arial" w:hAnsi="Arial" w:cs="Arial"/>
        <w:noProof/>
        <w:sz w:val="18"/>
        <w:szCs w:val="18"/>
      </w:rPr>
      <w:t>22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D14B67">
      <w:rPr>
        <w:rFonts w:ascii="Arial" w:hAnsi="Arial" w:cs="Arial"/>
        <w:noProof/>
        <w:sz w:val="18"/>
        <w:szCs w:val="18"/>
      </w:rPr>
      <w:t>95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55" w:rsidRDefault="00D31555">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3E0" w:rsidRDefault="009513E0">
      <w:r>
        <w:separator/>
      </w:r>
    </w:p>
  </w:footnote>
  <w:footnote w:type="continuationSeparator" w:id="0">
    <w:p w:rsidR="009513E0" w:rsidRDefault="009513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55" w:rsidRPr="0068071B" w:rsidRDefault="00D31555"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D31555" w:rsidRPr="00732A0E" w:rsidRDefault="00D31555"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555" w:rsidRDefault="00D31555">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96EEE"/>
    <w:rsid w:val="000A0322"/>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7F3"/>
    <w:rsid w:val="00194E32"/>
    <w:rsid w:val="001A5D8F"/>
    <w:rsid w:val="001B1FF7"/>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405B56"/>
    <w:rsid w:val="00406832"/>
    <w:rsid w:val="0042047E"/>
    <w:rsid w:val="00420E0D"/>
    <w:rsid w:val="004214F4"/>
    <w:rsid w:val="00433499"/>
    <w:rsid w:val="00433BDF"/>
    <w:rsid w:val="004405AB"/>
    <w:rsid w:val="00447AC8"/>
    <w:rsid w:val="00463DC4"/>
    <w:rsid w:val="00473726"/>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F9E"/>
    <w:rsid w:val="00512299"/>
    <w:rsid w:val="005214E3"/>
    <w:rsid w:val="00523EA8"/>
    <w:rsid w:val="00533645"/>
    <w:rsid w:val="005472C1"/>
    <w:rsid w:val="005557D6"/>
    <w:rsid w:val="00563E3E"/>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D4FD0"/>
    <w:rsid w:val="007D7782"/>
    <w:rsid w:val="007E60CC"/>
    <w:rsid w:val="007F74E6"/>
    <w:rsid w:val="008000DB"/>
    <w:rsid w:val="008050EE"/>
    <w:rsid w:val="00805E28"/>
    <w:rsid w:val="00805F92"/>
    <w:rsid w:val="008130B5"/>
    <w:rsid w:val="00813AFD"/>
    <w:rsid w:val="008173F0"/>
    <w:rsid w:val="008213BA"/>
    <w:rsid w:val="00823379"/>
    <w:rsid w:val="00830592"/>
    <w:rsid w:val="008312E9"/>
    <w:rsid w:val="00847465"/>
    <w:rsid w:val="00854AFC"/>
    <w:rsid w:val="00860C01"/>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D6AA1"/>
    <w:rsid w:val="009E0DD9"/>
    <w:rsid w:val="009E1F53"/>
    <w:rsid w:val="009E37AF"/>
    <w:rsid w:val="009F6626"/>
    <w:rsid w:val="009F7B86"/>
    <w:rsid w:val="00A12BF8"/>
    <w:rsid w:val="00A15FDF"/>
    <w:rsid w:val="00A164EA"/>
    <w:rsid w:val="00A21715"/>
    <w:rsid w:val="00A30284"/>
    <w:rsid w:val="00A337E0"/>
    <w:rsid w:val="00A46D9F"/>
    <w:rsid w:val="00A47960"/>
    <w:rsid w:val="00A503B6"/>
    <w:rsid w:val="00A52F75"/>
    <w:rsid w:val="00A64DA8"/>
    <w:rsid w:val="00A67C5C"/>
    <w:rsid w:val="00A71E3A"/>
    <w:rsid w:val="00A72ADA"/>
    <w:rsid w:val="00A747BE"/>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5200D-306E-47FE-80E1-064CDED4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95</Pages>
  <Words>30448</Words>
  <Characters>173554</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215</cp:revision>
  <cp:lastPrinted>2016-07-18T14:00:00Z</cp:lastPrinted>
  <dcterms:created xsi:type="dcterms:W3CDTF">2016-01-13T14:29:00Z</dcterms:created>
  <dcterms:modified xsi:type="dcterms:W3CDTF">2016-07-26T17:14:00Z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