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C95DBE3" w:rsidR="0025641E" w:rsidRDefault="005C6A78" w:rsidP="00504CAB">
            <w:pPr>
              <w:ind w:left="-12" w:right="-270"/>
              <w:jc w:val="center"/>
              <w:rPr>
                <w:rFonts w:ascii="Times New Roman (PCL6)" w:hAnsi="Times New Roman (PCL6)"/>
              </w:rPr>
            </w:pPr>
            <w:r>
              <w:rPr>
                <w:rFonts w:ascii="Times New Roman (PCL6)" w:hAnsi="Times New Roman (PCL6)"/>
              </w:rPr>
              <w:t>10</w:t>
            </w:r>
            <w:r w:rsidR="0025641E">
              <w:rPr>
                <w:rFonts w:ascii="Times New Roman (PCL6)" w:hAnsi="Times New Roman (PCL6)"/>
              </w:rPr>
              <w:t>/</w:t>
            </w:r>
            <w:r w:rsidR="00504CAB">
              <w:rPr>
                <w:rFonts w:ascii="Times New Roman (PCL6)" w:hAnsi="Times New Roman (PCL6)"/>
              </w:rPr>
              <w:t>30</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76E795F5" w:rsidR="0025641E" w:rsidRPr="0016723E" w:rsidRDefault="0025641E" w:rsidP="000D4447">
            <w:pPr>
              <w:pStyle w:val="hdr1"/>
              <w:spacing w:before="0"/>
              <w:ind w:left="0"/>
              <w:jc w:val="left"/>
              <w:rPr>
                <w:sz w:val="20"/>
              </w:rPr>
            </w:pPr>
            <w:r>
              <w:rPr>
                <w:sz w:val="20"/>
              </w:rPr>
              <w:t>TFS</w:t>
            </w:r>
            <w:r w:rsidR="002D71D7">
              <w:rPr>
                <w:sz w:val="20"/>
              </w:rPr>
              <w:t>1</w:t>
            </w:r>
            <w:r w:rsidR="005C6A78">
              <w:rPr>
                <w:sz w:val="20"/>
              </w:rPr>
              <w:t>2</w:t>
            </w:r>
            <w:r w:rsidR="000D4447">
              <w:rPr>
                <w:sz w:val="20"/>
              </w:rPr>
              <w:t>473</w:t>
            </w:r>
            <w:r>
              <w:rPr>
                <w:sz w:val="20"/>
              </w:rPr>
              <w:t xml:space="preserve"> – </w:t>
            </w:r>
            <w:r w:rsidR="00906507">
              <w:rPr>
                <w:sz w:val="20"/>
              </w:rPr>
              <w:t xml:space="preserve">eCL </w:t>
            </w:r>
            <w:r w:rsidR="000D4447">
              <w:rPr>
                <w:sz w:val="20"/>
              </w:rPr>
              <w:t>Admin Tool Use access for Mark</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0D4447"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0D4447"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0D4447"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0893D501" w:rsidR="000D4447" w:rsidRDefault="000D4447" w:rsidP="002574A1">
            <w:pPr>
              <w:pStyle w:val="hdr1"/>
              <w:spacing w:before="0"/>
              <w:ind w:left="0"/>
              <w:jc w:val="left"/>
              <w:rPr>
                <w:sz w:val="20"/>
              </w:rPr>
            </w:pPr>
            <w:r>
              <w:rPr>
                <w:sz w:val="20"/>
              </w:rPr>
              <w:t>100/30/2018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bookmarkStart w:id="0" w:name="_GoBack"/>
            <w:bookmarkEnd w:id="0"/>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bl>
    <w:p w14:paraId="3C717B01" w14:textId="1FCBA7FA"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19688397"/>
      <w:r>
        <w:rPr>
          <w:rFonts w:ascii="Arial" w:hAnsi="Arial"/>
          <w:kern w:val="0"/>
          <w:sz w:val="24"/>
        </w:rPr>
        <w:t>Table of Contents</w:t>
      </w:r>
      <w:bookmarkEnd w:id="2"/>
      <w:bookmarkEnd w:id="3"/>
      <w:bookmarkEnd w:id="4"/>
      <w:bookmarkEnd w:id="5"/>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19688398"/>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19688399"/>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19688400"/>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19688401"/>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19688402"/>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19688403"/>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19688404"/>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19688405"/>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19688406"/>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19688407"/>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19688408"/>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19688409"/>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19688410"/>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19688411"/>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19688412"/>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19688413"/>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19688414"/>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19688415"/>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19688416"/>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19688417"/>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19688418"/>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19688419"/>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19688420"/>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19688421"/>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19688422"/>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19688423"/>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19688424"/>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19688425"/>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19688426"/>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19688427"/>
      <w:r w:rsidRPr="006B2DCF">
        <w:rPr>
          <w:rFonts w:ascii="Arial" w:hAnsi="Arial"/>
          <w:b/>
          <w:bCs/>
          <w:sz w:val="22"/>
          <w:szCs w:val="22"/>
          <w:u w:val="none"/>
        </w:rPr>
        <w:t>3.2.1.1</w:t>
      </w:r>
      <w:r w:rsidRPr="006B2DCF">
        <w:rPr>
          <w:rFonts w:ascii="Arial" w:hAnsi="Arial"/>
          <w:b/>
          <w:bCs/>
          <w:sz w:val="22"/>
          <w:szCs w:val="22"/>
          <w:u w:val="none"/>
        </w:rPr>
        <w:tab/>
      </w:r>
      <w:bookmarkEnd w:id="122"/>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19688428"/>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r>
      <w:proofErr w:type="gramStart"/>
      <w:r>
        <w:t>eCoaching</w:t>
      </w:r>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19688429"/>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r>
      <w:proofErr w:type="gramStart"/>
      <w:r>
        <w:t>eCoaching</w:t>
      </w:r>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proofErr w:type="gramStart"/>
      <w:r w:rsidRPr="007019AA">
        <w:t>eCoaching</w:t>
      </w:r>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r>
      <w:proofErr w:type="gramStart"/>
      <w:r>
        <w:t>eCoaching</w:t>
      </w:r>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r>
      <w:proofErr w:type="gramStart"/>
      <w:r>
        <w:t>eCoaching</w:t>
      </w:r>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r>
      <w:proofErr w:type="gramStart"/>
      <w:r>
        <w:t>eCoaching</w:t>
      </w:r>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19688437"/>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19688438"/>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lastRenderedPageBreak/>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19688446"/>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19688447"/>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r w:rsidRPr="00A20A52">
              <w:rPr>
                <w:rFonts w:ascii="Calibri" w:eastAsia="Calibri" w:hAnsi="Calibri"/>
                <w:sz w:val="22"/>
                <w:szCs w:val="22"/>
              </w:rPr>
              <w:lastRenderedPageBreak/>
              <w:t>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r w:rsidR="00021511" w14:paraId="5ABD9B1D" w14:textId="77777777" w:rsidTr="0066659D">
        <w:tc>
          <w:tcPr>
            <w:tcW w:w="3870" w:type="dxa"/>
            <w:shd w:val="clear" w:color="auto" w:fill="auto"/>
          </w:tcPr>
          <w:p w14:paraId="2B6A11DC" w14:textId="36F49FF2" w:rsidR="00021511" w:rsidRPr="00A20A52" w:rsidRDefault="00021511" w:rsidP="0066659D">
            <w:pPr>
              <w:rPr>
                <w:rFonts w:ascii="Calibri" w:eastAsia="Calibri" w:hAnsi="Calibri"/>
                <w:sz w:val="22"/>
                <w:szCs w:val="22"/>
              </w:rPr>
            </w:pPr>
            <w:r>
              <w:rPr>
                <w:rFonts w:ascii="Calibri" w:eastAsia="Calibri" w:hAnsi="Calibri"/>
                <w:sz w:val="22"/>
                <w:szCs w:val="22"/>
              </w:rPr>
              <w:t>Analysts</w:t>
            </w:r>
          </w:p>
        </w:tc>
        <w:tc>
          <w:tcPr>
            <w:tcW w:w="4140" w:type="dxa"/>
            <w:shd w:val="clear" w:color="auto" w:fill="auto"/>
          </w:tcPr>
          <w:p w14:paraId="1F3BF89E" w14:textId="4A56CC9F" w:rsidR="00021511" w:rsidRPr="00A20A52" w:rsidRDefault="00021511" w:rsidP="0066659D">
            <w:pPr>
              <w:rPr>
                <w:rFonts w:ascii="Calibri" w:eastAsia="Calibri" w:hAnsi="Calibri"/>
                <w:sz w:val="22"/>
                <w:szCs w:val="22"/>
              </w:rPr>
            </w:pPr>
            <w:r>
              <w:rPr>
                <w:rFonts w:ascii="Calibri" w:eastAsia="Calibri" w:hAnsi="Calibri"/>
                <w:sz w:val="22"/>
                <w:szCs w:val="22"/>
              </w:rPr>
              <w:t>WPPM* and have ECL role in the Historical Dashboard Access Control List</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9688456"/>
      <w:r w:rsidRPr="005029EF">
        <w:rPr>
          <w:rFonts w:ascii="Arial" w:hAnsi="Arial"/>
          <w:b/>
          <w:bCs/>
          <w:sz w:val="22"/>
          <w:szCs w:val="22"/>
          <w:u w:val="none"/>
        </w:rPr>
        <w:lastRenderedPageBreak/>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lastRenderedPageBreak/>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lastRenderedPageBreak/>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lastRenderedPageBreak/>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lastRenderedPageBreak/>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lastRenderedPageBreak/>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 xml:space="preserve">defaults to 25 logs with option for 10, 25, </w:t>
            </w:r>
            <w:r w:rsidR="006473EE">
              <w:rPr>
                <w:rFonts w:eastAsia="Calibri"/>
              </w:rPr>
              <w:lastRenderedPageBreak/>
              <w:t>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lastRenderedPageBreak/>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lastRenderedPageBreak/>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lastRenderedPageBreak/>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lastRenderedPageBreak/>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lastRenderedPageBreak/>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lastRenderedPageBreak/>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lastRenderedPageBreak/>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lastRenderedPageBreak/>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lastRenderedPageBreak/>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lastRenderedPageBreak/>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9688462"/>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lastRenderedPageBreak/>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lastRenderedPageBreak/>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lastRenderedPageBreak/>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lastRenderedPageBreak/>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lastRenderedPageBreak/>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9688464"/>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lastRenderedPageBreak/>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 xml:space="preserve">0 </w:t>
            </w:r>
            <w:r w:rsidRPr="00627B9F">
              <w:rPr>
                <w:rFonts w:eastAsia="Calibri"/>
              </w:rPr>
              <w:lastRenderedPageBreak/>
              <w:t>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3"/>
      <w:bookmarkEnd w:id="204"/>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lastRenderedPageBreak/>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lastRenderedPageBreak/>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 xml:space="preserve">-If the address is correct, you must order a replacement card for the </w:t>
            </w:r>
            <w:r>
              <w:lastRenderedPageBreak/>
              <w:t>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lastRenderedPageBreak/>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 xml:space="preserve">CCO </w:t>
            </w:r>
            <w:r w:rsidRPr="00D527C2">
              <w:rPr>
                <w:rFonts w:eastAsia="Calibri"/>
                <w:u w:val="single"/>
              </w:rPr>
              <w:lastRenderedPageBreak/>
              <w:t>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lastRenderedPageBreak/>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t>
            </w:r>
            <w:r w:rsidRPr="00627B9F">
              <w:rPr>
                <w:rFonts w:eastAsia="Calibri"/>
              </w:rPr>
              <w:lastRenderedPageBreak/>
              <w:t xml:space="preserve">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0D4447"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lastRenderedPageBreak/>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lastRenderedPageBreak/>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lastRenderedPageBreak/>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w:t>
            </w:r>
            <w:r w:rsidRPr="0033218C">
              <w:rPr>
                <w:rFonts w:eastAsia="Calibri"/>
              </w:rPr>
              <w:lastRenderedPageBreak/>
              <w:t xml:space="preserve">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 xml:space="preserve">Status becomes Pending Supervisor Review if Yes selected for coaching </w:t>
            </w:r>
            <w:r>
              <w:rPr>
                <w:rFonts w:eastAsia="Calibri"/>
              </w:rPr>
              <w:lastRenderedPageBreak/>
              <w:t>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0D4447"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lastRenderedPageBreak/>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9688472"/>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lastRenderedPageBreak/>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9688475"/>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lastRenderedPageBreak/>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lastRenderedPageBreak/>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lastRenderedPageBreak/>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lastRenderedPageBreak/>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lastRenderedPageBreak/>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 xml:space="preserve">Application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lastRenderedPageBreak/>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lastRenderedPageBreak/>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proofErr w:type="gramStart"/>
      <w:r w:rsidRPr="00CD4169">
        <w:rPr>
          <w:b/>
        </w:rPr>
        <w:t>eCL</w:t>
      </w:r>
      <w:proofErr w:type="gramEnd"/>
      <w:r w:rsidRPr="00CD4169">
        <w:rPr>
          <w:b/>
        </w:rPr>
        <w:t xml:space="preserve">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r>
      <w:proofErr w:type="gramStart"/>
      <w:r w:rsidRPr="00CD4169">
        <w:rPr>
          <w:b/>
        </w:rPr>
        <w:t>eCL</w:t>
      </w:r>
      <w:proofErr w:type="gramEnd"/>
      <w:r w:rsidRPr="00CD4169">
        <w:rPr>
          <w:b/>
        </w:rPr>
        <w:t xml:space="preserve">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proofErr w:type="gramStart"/>
      <w:r w:rsidRPr="00CD4169">
        <w:rPr>
          <w:b/>
        </w:rPr>
        <w:t>eCL</w:t>
      </w:r>
      <w:proofErr w:type="gramEnd"/>
      <w:r w:rsidRPr="00CD4169">
        <w:rPr>
          <w:b/>
        </w:rPr>
        <w:t xml:space="preserve">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lastRenderedPageBreak/>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 xml:space="preserve">Reports to be </w:t>
      </w:r>
      <w:proofErr w:type="gramStart"/>
      <w:r>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lastRenderedPageBreak/>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7"/>
      <w:bookmarkEnd w:id="24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 xml:space="preserve">Email notifications for NPN coaching logs will be sent to the coaching log </w:t>
            </w:r>
            <w:r>
              <w:lastRenderedPageBreak/>
              <w:t>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 xml:space="preserve">When updating an application, CSRs are required to ask consumers the question “Tell us if you’re getting help from one of these people.”  If the consumer indicates that they </w:t>
            </w:r>
            <w:r>
              <w:lastRenderedPageBreak/>
              <w:t>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9"/>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lastRenderedPageBreak/>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w:t>
            </w:r>
            <w:r w:rsidRPr="004F4A0E">
              <w:rPr>
                <w:rFonts w:ascii="Calibri" w:eastAsia="Calibri" w:hAnsi="Calibri"/>
                <w:sz w:val="22"/>
                <w:szCs w:val="22"/>
              </w:rPr>
              <w:lastRenderedPageBreak/>
              <w:t xml:space="preserve">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Verint is a </w:t>
            </w:r>
            <w:r w:rsidRPr="004F4A0E">
              <w:rPr>
                <w:rFonts w:ascii="Calibri" w:eastAsia="Calibri" w:hAnsi="Calibri"/>
                <w:sz w:val="22"/>
                <w:szCs w:val="22"/>
              </w:rPr>
              <w:lastRenderedPageBreak/>
              <w:t>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80F87" w14:textId="77777777" w:rsidR="00B05FA4" w:rsidRDefault="00B05FA4">
      <w:r>
        <w:separator/>
      </w:r>
    </w:p>
  </w:endnote>
  <w:endnote w:type="continuationSeparator" w:id="0">
    <w:p w14:paraId="2402AF48" w14:textId="77777777" w:rsidR="00B05FA4" w:rsidRDefault="00B05FA4">
      <w:r>
        <w:continuationSeparator/>
      </w:r>
    </w:p>
  </w:endnote>
  <w:endnote w:type="continuationNotice" w:id="1">
    <w:p w14:paraId="44FF40B1" w14:textId="77777777" w:rsidR="00B05FA4" w:rsidRDefault="00B05F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0D4447" w:rsidRDefault="000D44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0D4447" w:rsidRDefault="000D44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0D4447" w:rsidRPr="00BA590C" w:rsidRDefault="000D4447"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0D4447" w:rsidRPr="00BA590C" w:rsidRDefault="000D4447"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0D4447" w:rsidRPr="00732A0E" w:rsidRDefault="000D4447"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03438">
      <w:rPr>
        <w:rFonts w:ascii="Arial" w:hAnsi="Arial" w:cs="Arial"/>
        <w:noProof/>
        <w:sz w:val="18"/>
        <w:szCs w:val="18"/>
      </w:rPr>
      <w:t>26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03438">
      <w:rPr>
        <w:rFonts w:ascii="Arial" w:hAnsi="Arial" w:cs="Arial"/>
        <w:noProof/>
        <w:sz w:val="18"/>
        <w:szCs w:val="18"/>
      </w:rPr>
      <w:t>133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0D4447" w:rsidRDefault="000D4447">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F40D3" w14:textId="77777777" w:rsidR="00B05FA4" w:rsidRDefault="00B05FA4">
      <w:r>
        <w:separator/>
      </w:r>
    </w:p>
  </w:footnote>
  <w:footnote w:type="continuationSeparator" w:id="0">
    <w:p w14:paraId="13F70E09" w14:textId="77777777" w:rsidR="00B05FA4" w:rsidRDefault="00B05FA4">
      <w:r>
        <w:continuationSeparator/>
      </w:r>
    </w:p>
  </w:footnote>
  <w:footnote w:type="continuationNotice" w:id="1">
    <w:p w14:paraId="0A250202" w14:textId="77777777" w:rsidR="00B05FA4" w:rsidRDefault="00B05FA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0D4447" w:rsidRPr="0068071B" w:rsidRDefault="000D4447"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0D4447" w:rsidRPr="00732A0E" w:rsidRDefault="000D4447"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0D4447" w:rsidRDefault="000D4447">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30F3"/>
    <w:rsid w:val="00035712"/>
    <w:rsid w:val="00037E70"/>
    <w:rsid w:val="0004387C"/>
    <w:rsid w:val="00050F8B"/>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444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2708"/>
    <w:rsid w:val="004327E8"/>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6CB"/>
    <w:rsid w:val="005128B8"/>
    <w:rsid w:val="00514400"/>
    <w:rsid w:val="00520D3E"/>
    <w:rsid w:val="00520DF3"/>
    <w:rsid w:val="00520E2C"/>
    <w:rsid w:val="00520EC0"/>
    <w:rsid w:val="005214E3"/>
    <w:rsid w:val="00521E1C"/>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2EB2"/>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AF6E51"/>
    <w:rsid w:val="00B00592"/>
    <w:rsid w:val="00B05FA4"/>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E84E2-4746-49E1-A195-696BCC0B6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7635</TotalTime>
  <Pages>133</Pages>
  <Words>42570</Words>
  <Characters>242649</Characters>
  <Application>Microsoft Office Word</Application>
  <DocSecurity>0</DocSecurity>
  <Lines>2022</Lines>
  <Paragraphs>569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51</cp:revision>
  <cp:lastPrinted>2018-01-22T15:28:00Z</cp:lastPrinted>
  <dcterms:created xsi:type="dcterms:W3CDTF">2016-01-13T14:29:00Z</dcterms:created>
  <dcterms:modified xsi:type="dcterms:W3CDTF">2018-10-30T17:19:00Z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