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B51DDD"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B51DDD">
            <w:pPr>
              <w:ind w:left="-12" w:right="-270"/>
              <w:jc w:val="center"/>
              <w:rPr>
                <w:rFonts w:ascii="Times New Roman (PCL6)" w:hAnsi="Times New Roman (PCL6)"/>
              </w:rPr>
            </w:pPr>
            <w:r>
              <w:rPr>
                <w:rFonts w:ascii="Times New Roman (PCL6)" w:hAnsi="Times New Roman (PCL6)"/>
              </w:rPr>
              <w:t>1</w:t>
            </w:r>
            <w:r w:rsidR="008E1A46">
              <w:rPr>
                <w:rFonts w:ascii="Times New Roman (PCL6)" w:hAnsi="Times New Roman (PCL6)"/>
              </w:rPr>
              <w:t>2</w:t>
            </w:r>
            <w:r w:rsidR="00D36C58">
              <w:rPr>
                <w:rFonts w:ascii="Times New Roman (PCL6)" w:hAnsi="Times New Roman (PCL6)"/>
              </w:rPr>
              <w:t>/</w:t>
            </w:r>
            <w:r w:rsidR="008E1A46">
              <w:rPr>
                <w:rFonts w:ascii="Times New Roman (PCL6)" w:hAnsi="Times New Roman (PCL6)"/>
              </w:rPr>
              <w:t>0</w:t>
            </w:r>
            <w:r w:rsidR="00B51DDD">
              <w:rPr>
                <w:rFonts w:ascii="Times New Roman (PCL6)" w:hAnsi="Times New Roman (PCL6)"/>
              </w:rPr>
              <w:t>8</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B51DDD">
            <w:pPr>
              <w:ind w:right="-270"/>
              <w:rPr>
                <w:rFonts w:ascii="Times New Roman (PCL6)" w:hAnsi="Times New Roman (PCL6)"/>
              </w:rPr>
            </w:pPr>
            <w:r>
              <w:rPr>
                <w:rFonts w:ascii="Times New Roman (PCL6)" w:hAnsi="Times New Roman (PCL6)"/>
              </w:rPr>
              <w:t>TFS</w:t>
            </w:r>
            <w:r w:rsidR="00B51DDD">
              <w:rPr>
                <w:rFonts w:ascii="Times New Roman (PCL6)" w:hAnsi="Times New Roman (PCL6)"/>
              </w:rPr>
              <w:t>4916</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B51DDD">
              <w:rPr>
                <w:rFonts w:ascii="Times New Roman (PCL6)" w:hAnsi="Times New Roman (PCL6)"/>
              </w:rPr>
              <w:t>Generic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51DDD">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51DDD"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51DDD">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bookmarkStart w:id="0" w:name="_GoBack"/>
            <w:bookmarkEnd w:id="0"/>
          </w:p>
        </w:tc>
        <w:tc>
          <w:tcPr>
            <w:tcW w:w="2790" w:type="dxa"/>
          </w:tcPr>
          <w:p w:rsidR="00B51DDD" w:rsidRDefault="00B51DDD" w:rsidP="00357383">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B51DDD">
        <w:t>8</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rsidR="00B51DDD">
        <w:t>10</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rsidR="00B51DDD">
        <w:t>11</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rsidR="00B51DDD">
        <w:t>12</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rsidR="00B51DDD">
        <w:t>19</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rsidR="00B51DDD">
        <w:t>24</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rsidR="00B51DDD">
        <w:t>29</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rsidR="00B51DDD">
        <w:t>32</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rsidR="00B51DDD">
        <w:t>44</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rsidR="00B51DDD">
        <w:t>46</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rsidR="00B51DDD">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rsidR="00B51DDD">
        <w:t>48</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rsidR="00B51DDD">
        <w:t>48</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rsidR="00B51DDD">
        <w:t>52</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rsidR="00B51DDD">
        <w:t>53</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rsidR="00B51DDD">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rsidR="00B51DDD">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rsidR="00B51DDD">
        <w:t>62</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rsidR="00B51DDD">
        <w:t>64</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rsidR="00B51DDD">
        <w:t>64</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rsidR="00B51DDD">
        <w:t>80</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rsidR="00B51DDD">
        <w:t>80</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rsidR="00B51DDD">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rsidR="00B51DDD">
        <w:t>91</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rsidR="00B51DDD">
        <w:t>93</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rsidR="00B51DDD">
        <w:t>93</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rsidR="00B51DDD">
        <w:t>97</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rsidR="00B51DDD">
        <w:t>97</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rsidR="00B51DDD">
        <w:t>98</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rsidR="00B51DDD">
        <w:t>98</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rsidR="00B51DDD">
        <w:t>102</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rsidR="00B51DDD">
        <w:t>102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B51DD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t xml:space="preserve">Coaching Reason </w:t>
            </w:r>
            <w:r>
              <w:t>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w:t>
            </w:r>
            <w:r>
              <w:t>Value</w:t>
            </w:r>
            <w:r>
              <w:t xml:space="preserv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 xml:space="preserve">Determined by the </w:t>
            </w:r>
            <w:r>
              <w:t xml:space="preserve">Coaching sub-reason </w:t>
            </w:r>
            <w:r>
              <w:t>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 xml:space="preserve">Determined by the </w:t>
            </w:r>
            <w:r>
              <w:t xml:space="preserve">Text Description </w:t>
            </w:r>
            <w:r>
              <w:t>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 xml:space="preserve">Determined by the </w:t>
            </w:r>
            <w:r>
              <w:t>Status</w:t>
            </w:r>
            <w:r>
              <w:t xml:space="preserve">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 xml:space="preserve">Determined by the </w:t>
            </w:r>
            <w:r>
              <w:t xml:space="preserve">value of the </w:t>
            </w:r>
            <w:r>
              <w:t xml:space="preserve">Source </w:t>
            </w:r>
            <w:r>
              <w:t xml:space="preserve">field </w:t>
            </w:r>
            <w:r>
              <w:t>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A07B41" w:rsidP="00A07B41">
            <w:pPr>
              <w:rPr>
                <w:rFonts w:eastAsia="Calibri"/>
              </w:rPr>
            </w:pPr>
            <w:r>
              <w:t xml:space="preserve">Determined by the </w:t>
            </w:r>
            <w:r>
              <w:t xml:space="preserve">Module </w:t>
            </w:r>
            <w:r>
              <w:t>value in the feed file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lastRenderedPageBreak/>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lastRenderedPageBreak/>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lastRenderedPageBreak/>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lastRenderedPageBreak/>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B51DDD"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B51DDD"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lastRenderedPageBreak/>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 xml:space="preserve">Contact Center Operations </w:t>
            </w:r>
            <w:r w:rsidRPr="00AE4A90">
              <w:rPr>
                <w:rFonts w:eastAsia="Calibri"/>
                <w:u w:val="single"/>
              </w:rPr>
              <w:lastRenderedPageBreak/>
              <w:t>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B51DDD"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lastRenderedPageBreak/>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lastRenderedPageBreak/>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lastRenderedPageBreak/>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lastRenderedPageBreak/>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lastRenderedPageBreak/>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lastRenderedPageBreak/>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lastRenderedPageBreak/>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B51DDD">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lastRenderedPageBreak/>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lastRenderedPageBreak/>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lastRenderedPageBreak/>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9B5" w:rsidRDefault="00D429B5">
      <w:r>
        <w:separator/>
      </w:r>
    </w:p>
  </w:endnote>
  <w:endnote w:type="continuationSeparator" w:id="0">
    <w:p w:rsidR="00D429B5" w:rsidRDefault="00D4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B51D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1DDD" w:rsidRDefault="00B51D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Pr="00BA590C" w:rsidRDefault="00B51DD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51DDD" w:rsidRPr="00BA590C" w:rsidRDefault="00B51DD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B51DDD" w:rsidRPr="00732A0E" w:rsidRDefault="00B51DD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07B41">
      <w:rPr>
        <w:rFonts w:ascii="Arial" w:hAnsi="Arial" w:cs="Arial"/>
        <w:noProof/>
        <w:sz w:val="18"/>
        <w:szCs w:val="18"/>
      </w:rPr>
      <w:t>9</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07B41">
      <w:rPr>
        <w:rFonts w:ascii="Arial" w:hAnsi="Arial" w:cs="Arial"/>
        <w:noProof/>
        <w:sz w:val="18"/>
        <w:szCs w:val="18"/>
      </w:rPr>
      <w:t>103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B51DDD">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9B5" w:rsidRDefault="00D429B5">
      <w:r>
        <w:separator/>
      </w:r>
    </w:p>
  </w:footnote>
  <w:footnote w:type="continuationSeparator" w:id="0">
    <w:p w:rsidR="00D429B5" w:rsidRDefault="00D42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Pr="0068071B" w:rsidRDefault="00B51DDD"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B51DDD" w:rsidRPr="00732A0E" w:rsidRDefault="00B51DD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DDD" w:rsidRDefault="00B51DDD">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0B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1DDD"/>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237BA"/>
    <w:rsid w:val="00D2792F"/>
    <w:rsid w:val="00D31555"/>
    <w:rsid w:val="00D33F25"/>
    <w:rsid w:val="00D36C58"/>
    <w:rsid w:val="00D429B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9FDF1-062F-44B2-9EE7-E70345B0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103</Pages>
  <Words>32602</Words>
  <Characters>185837</Characters>
  <Application>Microsoft Office Word</Application>
  <DocSecurity>0</DocSecurity>
  <Lines>1548</Lines>
  <Paragraphs>436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248</cp:revision>
  <cp:lastPrinted>2016-12-08T20:18:00Z</cp:lastPrinted>
  <dcterms:created xsi:type="dcterms:W3CDTF">2016-01-13T14:29:00Z</dcterms:created>
  <dcterms:modified xsi:type="dcterms:W3CDTF">2016-12-08T20:34:00Z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