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B31C4B"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F217B4">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674F17">
              <w:rPr>
                <w:rFonts w:ascii="Times New Roman (PCL6)" w:hAnsi="Times New Roman (PCL6)"/>
              </w:rPr>
              <w:t>0</w:t>
            </w:r>
            <w:r w:rsidR="00F217B4">
              <w:rPr>
                <w:rFonts w:ascii="Times New Roman (PCL6)" w:hAnsi="Times New Roman (PCL6)"/>
              </w:rPr>
              <w:t>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5343D">
            <w:pPr>
              <w:ind w:right="-270"/>
              <w:rPr>
                <w:rFonts w:ascii="Times New Roman (PCL6)" w:hAnsi="Times New Roman (PCL6)"/>
              </w:rPr>
            </w:pPr>
            <w:r>
              <w:rPr>
                <w:rFonts w:ascii="Times New Roman (PCL6)" w:hAnsi="Times New Roman (PCL6)"/>
              </w:rPr>
              <w:t>TFS1710 – eCL Email Reminder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31C4B">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31C4B"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31C4B">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TFS1710 – eCL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r w:rsidR="00F217B4">
        <w:tc>
          <w:tcPr>
            <w:tcW w:w="1440" w:type="dxa"/>
          </w:tcPr>
          <w:p w:rsidR="00F217B4" w:rsidRDefault="00F217B4" w:rsidP="00DE11E2">
            <w:pPr>
              <w:pStyle w:val="hdr1"/>
              <w:spacing w:before="0"/>
              <w:ind w:left="0"/>
              <w:jc w:val="left"/>
            </w:pPr>
            <w:r>
              <w:t>02/09/2016</w:t>
            </w:r>
          </w:p>
        </w:tc>
        <w:tc>
          <w:tcPr>
            <w:tcW w:w="5238" w:type="dxa"/>
          </w:tcPr>
          <w:p w:rsidR="00F217B4" w:rsidRDefault="00F217B4" w:rsidP="00F217B4">
            <w:pPr>
              <w:pStyle w:val="hdr1"/>
              <w:spacing w:before="0"/>
              <w:ind w:left="0"/>
              <w:jc w:val="left"/>
            </w:pPr>
            <w:r>
              <w:t>TFS1710 – eCL Email Reminder</w:t>
            </w:r>
          </w:p>
          <w:p w:rsidR="00F217B4" w:rsidRDefault="00F217B4" w:rsidP="00F217B4">
            <w:pPr>
              <w:pStyle w:val="hdr1"/>
              <w:spacing w:before="0"/>
              <w:ind w:left="0"/>
              <w:jc w:val="left"/>
            </w:pPr>
            <w:r>
              <w:t>Modified the following requirements based on review</w:t>
            </w:r>
          </w:p>
          <w:p w:rsidR="00F217B4" w:rsidRPr="00F217B4" w:rsidRDefault="00F217B4" w:rsidP="00F217B4">
            <w:pPr>
              <w:pStyle w:val="hdr1"/>
              <w:spacing w:before="0"/>
              <w:ind w:left="0"/>
              <w:jc w:val="left"/>
              <w:rPr>
                <w:b/>
              </w:rPr>
            </w:pPr>
            <w:r w:rsidRPr="00F217B4">
              <w:t>3.2.2.5.3 Time Frame</w:t>
            </w:r>
          </w:p>
        </w:tc>
        <w:tc>
          <w:tcPr>
            <w:tcW w:w="2790" w:type="dxa"/>
          </w:tcPr>
          <w:p w:rsidR="00F217B4" w:rsidRDefault="00F217B4"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217B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w:t>
            </w:r>
            <w:r w:rsidR="00F217B4">
              <w:rPr>
                <w:color w:val="000000"/>
              </w:rPr>
              <w:t xml:space="preserve">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F217B4">
            <w:pPr>
              <w:rPr>
                <w:color w:val="000000"/>
              </w:rPr>
            </w:pPr>
            <w:r>
              <w:rPr>
                <w:color w:val="000000"/>
              </w:rPr>
              <w:t xml:space="preserve">72 hours after </w:t>
            </w:r>
            <w:r w:rsidR="00F217B4">
              <w:rPr>
                <w:color w:val="000000"/>
              </w:rPr>
              <w:t xml:space="preserve">date/time </w:t>
            </w:r>
            <w:r w:rsidR="00F217B4">
              <w:rPr>
                <w:color w:val="000000"/>
              </w:rPr>
              <w:t xml:space="preserve">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lastRenderedPageBreak/>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lastRenderedPageBreak/>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eCL because the ARC received an Inappropriate Transfer from </w:t>
            </w:r>
            <w:r w:rsidRPr="00380BDF">
              <w:rPr>
                <w:rFonts w:eastAsia="Calibri"/>
              </w:rPr>
              <w:lastRenderedPageBreak/>
              <w:t>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lastRenderedPageBreak/>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217B4"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217B4"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31C4B"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lastRenderedPageBreak/>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lastRenderedPageBreak/>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lastRenderedPageBreak/>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217B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lastRenderedPageBreak/>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lastRenderedPageBreak/>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C4B" w:rsidRDefault="00B31C4B">
      <w:r>
        <w:separator/>
      </w:r>
    </w:p>
  </w:endnote>
  <w:endnote w:type="continuationSeparator" w:id="0">
    <w:p w:rsidR="00B31C4B" w:rsidRDefault="00B3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6664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6436" w:rsidRDefault="006664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Pr="00BA590C" w:rsidRDefault="0066643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66436" w:rsidRPr="00BA590C" w:rsidRDefault="0066643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666436" w:rsidRPr="00732A0E" w:rsidRDefault="0066643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217B4">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217B4">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B31C4B">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666436">
      <w:rPr>
        <w:b/>
        <w:noProof/>
      </w:rPr>
      <w:t xml:space="preserve">Templates - </w:t>
    </w:r>
    <w:r w:rsidR="00666436">
      <w:rPr>
        <w:rStyle w:val="PageNumber"/>
        <w:b/>
      </w:rPr>
      <w:fldChar w:fldCharType="begin"/>
    </w:r>
    <w:r w:rsidR="00666436">
      <w:rPr>
        <w:rStyle w:val="PageNumber"/>
        <w:b/>
      </w:rPr>
      <w:instrText xml:space="preserve"> PAGE </w:instrText>
    </w:r>
    <w:r w:rsidR="00666436">
      <w:rPr>
        <w:rStyle w:val="PageNumber"/>
        <w:b/>
      </w:rPr>
      <w:fldChar w:fldCharType="separate"/>
    </w:r>
    <w:r w:rsidR="00666436">
      <w:rPr>
        <w:rStyle w:val="PageNumber"/>
        <w:b/>
        <w:noProof/>
      </w:rPr>
      <w:t>1</w:t>
    </w:r>
    <w:r w:rsidR="0066643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C4B" w:rsidRDefault="00B31C4B">
      <w:r>
        <w:separator/>
      </w:r>
    </w:p>
  </w:footnote>
  <w:footnote w:type="continuationSeparator" w:id="0">
    <w:p w:rsidR="00B31C4B" w:rsidRDefault="00B31C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Pr="0068071B" w:rsidRDefault="00666436" w:rsidP="008773BA">
    <w:pPr>
      <w:pStyle w:val="Header"/>
      <w:tabs>
        <w:tab w:val="left" w:pos="3115"/>
        <w:tab w:val="right" w:pos="9720"/>
      </w:tabs>
      <w:jc w:val="left"/>
      <w:rPr>
        <w:szCs w:val="18"/>
      </w:rPr>
    </w:pPr>
    <w:r>
      <w:rPr>
        <w:szCs w:val="18"/>
      </w:rPr>
      <w:tab/>
    </w:r>
    <w:r>
      <w:rPr>
        <w:szCs w:val="18"/>
      </w:rPr>
      <w:tab/>
    </w:r>
    <w:r>
      <w:rPr>
        <w:szCs w:val="18"/>
      </w:rPr>
      <w:tab/>
    </w:r>
    <w:r w:rsidR="00B31C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666436" w:rsidRPr="00732A0E" w:rsidRDefault="0066643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B31C4B">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666436">
      <w:tab/>
    </w:r>
    <w:r w:rsidR="0066643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1C4B"/>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33F25"/>
    <w:rsid w:val="00D43087"/>
    <w:rsid w:val="00D465A2"/>
    <w:rsid w:val="00D63B1F"/>
    <w:rsid w:val="00D65978"/>
    <w:rsid w:val="00D927F2"/>
    <w:rsid w:val="00D97372"/>
    <w:rsid w:val="00DB3BA2"/>
    <w:rsid w:val="00DC28F8"/>
    <w:rsid w:val="00DC3CAF"/>
    <w:rsid w:val="00DC5322"/>
    <w:rsid w:val="00DD0A22"/>
    <w:rsid w:val="00DD6D21"/>
    <w:rsid w:val="00DE11E2"/>
    <w:rsid w:val="00DE6C7F"/>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DE9D3-CD96-421E-9574-DD443995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81</Pages>
  <Words>25596</Words>
  <Characters>145899</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100</cp:revision>
  <cp:lastPrinted>2016-02-05T19:05:00Z</cp:lastPrinted>
  <dcterms:created xsi:type="dcterms:W3CDTF">2016-01-13T14:29:00Z</dcterms:created>
  <dcterms:modified xsi:type="dcterms:W3CDTF">2016-02-09T14:45:00Z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