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08070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C637E3">
            <w:pPr>
              <w:ind w:left="-12" w:right="-270"/>
              <w:jc w:val="center"/>
              <w:rPr>
                <w:rFonts w:ascii="Times New Roman (PCL6)" w:hAnsi="Times New Roman (PCL6)"/>
              </w:rPr>
            </w:pPr>
            <w:r>
              <w:rPr>
                <w:rFonts w:ascii="Times New Roman (PCL6)" w:hAnsi="Times New Roman (PCL6)"/>
              </w:rPr>
              <w:t>0</w:t>
            </w:r>
            <w:r w:rsidR="00750F94">
              <w:rPr>
                <w:rFonts w:ascii="Times New Roman (PCL6)" w:hAnsi="Times New Roman (PCL6)"/>
              </w:rPr>
              <w:t>5</w:t>
            </w:r>
            <w:r>
              <w:rPr>
                <w:rFonts w:ascii="Times New Roman (PCL6)" w:hAnsi="Times New Roman (PCL6)"/>
              </w:rPr>
              <w:t>/</w:t>
            </w:r>
            <w:r w:rsidR="00750F94">
              <w:rPr>
                <w:rFonts w:ascii="Times New Roman (PCL6)" w:hAnsi="Times New Roman (PCL6)"/>
              </w:rPr>
              <w:t>0</w:t>
            </w:r>
            <w:r w:rsidR="00775B28">
              <w:rPr>
                <w:rFonts w:ascii="Times New Roman (PCL6)" w:hAnsi="Times New Roman (PCL6)"/>
              </w:rPr>
              <w:t>4</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775B28">
            <w:pPr>
              <w:pStyle w:val="hdr1"/>
              <w:spacing w:before="0"/>
              <w:ind w:left="0"/>
              <w:jc w:val="left"/>
              <w:rPr>
                <w:sz w:val="20"/>
              </w:rPr>
            </w:pPr>
            <w:r>
              <w:rPr>
                <w:sz w:val="20"/>
              </w:rPr>
              <w:t>TFS</w:t>
            </w:r>
            <w:r w:rsidR="00C637E3">
              <w:rPr>
                <w:sz w:val="20"/>
              </w:rPr>
              <w:t>65</w:t>
            </w:r>
            <w:r w:rsidR="00775B28">
              <w:rPr>
                <w:sz w:val="20"/>
              </w:rPr>
              <w:t>40</w:t>
            </w:r>
            <w:r>
              <w:rPr>
                <w:sz w:val="20"/>
              </w:rPr>
              <w:t xml:space="preserve"> – eCL </w:t>
            </w:r>
            <w:r w:rsidR="00775B28">
              <w:rPr>
                <w:sz w:val="20"/>
              </w:rPr>
              <w:t>Break Static Text</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080705">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080705"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080705">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bl>
    <w:p w:rsidR="000C3AEC" w:rsidRDefault="00292613">
      <w:pPr>
        <w:pStyle w:val="BodyText"/>
      </w:pPr>
      <w:r>
        <w:lastRenderedPageBreak/>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79835249"/>
      <w:r>
        <w:rPr>
          <w:rFonts w:ascii="Arial" w:hAnsi="Arial"/>
          <w:kern w:val="0"/>
          <w:sz w:val="24"/>
        </w:rPr>
        <w:t>Table of Contents</w:t>
      </w:r>
      <w:bookmarkEnd w:id="1"/>
      <w:bookmarkEnd w:id="2"/>
      <w:bookmarkEnd w:id="3"/>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79835251"/>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79835252"/>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79835253"/>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79835254"/>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79835255"/>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79835256"/>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79835257"/>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79835258"/>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79835259"/>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79835260"/>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79835261"/>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79835262"/>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79835263"/>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79835264"/>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79835265"/>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79835266"/>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79835267"/>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79835268"/>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79835269"/>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79835270"/>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79835271"/>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79835272"/>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79835273"/>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79835274"/>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79835275"/>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79835276"/>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79835277"/>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79835279"/>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79835281"/>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79835285"/>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79835286"/>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623F2">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lastRenderedPageBreak/>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3"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5"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6"/>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623F2"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623F2"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0611C1"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0611C1" w:rsidRPr="00367641" w:rsidRDefault="000611C1"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Display text when log source is Internal CCO Reporting and report code is HFC</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D31555" w:rsidRDefault="000611C1" w:rsidP="00AA5CC5">
            <w:pPr>
              <w:rPr>
                <w:rFonts w:eastAsia="Calibri"/>
              </w:rPr>
            </w:pPr>
            <w:r w:rsidRPr="002E3364">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IQS, LimeSurvey, Verint-GDIT, Verin</w:t>
            </w:r>
            <w:r>
              <w:t xml:space="preserve">t-GDIT Supervisor, Verint-TQC,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lastRenderedPageBreak/>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lastRenderedPageBreak/>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w:t>
            </w:r>
            <w:bookmarkStart w:id="127" w:name="_GoBack"/>
            <w:bookmarkEnd w:id="127"/>
            <w:r w:rsidRPr="00775B28">
              <w:rPr>
                <w:rFonts w:eastAsia="Calibri"/>
              </w:rPr>
              <w:t>-HR-MISC-08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lastRenderedPageBreak/>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080705" w:rsidP="00106704">
      <w:pPr>
        <w:ind w:left="1440"/>
        <w:rPr>
          <w:color w:val="1F497D"/>
        </w:rPr>
      </w:pPr>
      <w:hyperlink r:id="rId18"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lastRenderedPageBreak/>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080705"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1. Is the coaching opportunity a confirmed Customer Service </w:t>
            </w:r>
            <w:r w:rsidRPr="00627B9F">
              <w:rPr>
                <w:rFonts w:eastAsia="Calibri"/>
              </w:rPr>
              <w:lastRenderedPageBreak/>
              <w:t>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lastRenderedPageBreak/>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lastRenderedPageBreak/>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lastRenderedPageBreak/>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lastRenderedPageBreak/>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lastRenderedPageBreak/>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lastRenderedPageBreak/>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lastRenderedPageBreak/>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lastRenderedPageBreak/>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lastRenderedPageBreak/>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lastRenderedPageBreak/>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623F2">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lastRenderedPageBreak/>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lastRenderedPageBreak/>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lastRenderedPageBreak/>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7"/>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Current state of the warning log </w:t>
            </w:r>
            <w:r w:rsidRPr="001530FE">
              <w:rPr>
                <w:rFonts w:eastAsia="Calibri"/>
                <w:sz w:val="22"/>
                <w:szCs w:val="22"/>
              </w:rPr>
              <w:lastRenderedPageBreak/>
              <w:t>(Active,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705" w:rsidRDefault="00080705">
      <w:r>
        <w:separator/>
      </w:r>
    </w:p>
  </w:endnote>
  <w:endnote w:type="continuationSeparator" w:id="0">
    <w:p w:rsidR="00080705" w:rsidRDefault="0008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750F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0F94" w:rsidRDefault="00750F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Pr="00BA590C" w:rsidRDefault="00750F9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50F94" w:rsidRPr="00BA590C" w:rsidRDefault="00750F94"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750F94" w:rsidRPr="00732A0E" w:rsidRDefault="00750F9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623F2">
      <w:rPr>
        <w:rFonts w:ascii="Arial" w:hAnsi="Arial" w:cs="Arial"/>
        <w:noProof/>
        <w:sz w:val="18"/>
        <w:szCs w:val="18"/>
      </w:rPr>
      <w:t>92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623F2">
      <w:rPr>
        <w:rFonts w:ascii="Arial" w:hAnsi="Arial" w:cs="Arial"/>
        <w:noProof/>
        <w:sz w:val="18"/>
        <w:szCs w:val="18"/>
      </w:rPr>
      <w:t>117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080705">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750F94">
      <w:rPr>
        <w:b/>
        <w:noProof/>
      </w:rPr>
      <w:t xml:space="preserve">Templates - </w:t>
    </w:r>
    <w:r w:rsidR="00750F94">
      <w:rPr>
        <w:rStyle w:val="PageNumber"/>
        <w:b/>
      </w:rPr>
      <w:fldChar w:fldCharType="begin"/>
    </w:r>
    <w:r w:rsidR="00750F94">
      <w:rPr>
        <w:rStyle w:val="PageNumber"/>
        <w:b/>
      </w:rPr>
      <w:instrText xml:space="preserve"> PAGE </w:instrText>
    </w:r>
    <w:r w:rsidR="00750F94">
      <w:rPr>
        <w:rStyle w:val="PageNumber"/>
        <w:b/>
      </w:rPr>
      <w:fldChar w:fldCharType="separate"/>
    </w:r>
    <w:r w:rsidR="00750F94">
      <w:rPr>
        <w:rStyle w:val="PageNumber"/>
        <w:b/>
        <w:noProof/>
      </w:rPr>
      <w:t>1</w:t>
    </w:r>
    <w:r w:rsidR="00750F94">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705" w:rsidRDefault="00080705">
      <w:r>
        <w:separator/>
      </w:r>
    </w:p>
  </w:footnote>
  <w:footnote w:type="continuationSeparator" w:id="0">
    <w:p w:rsidR="00080705" w:rsidRDefault="00080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Pr="0068071B" w:rsidRDefault="00750F94" w:rsidP="008773BA">
    <w:pPr>
      <w:pStyle w:val="Header"/>
      <w:tabs>
        <w:tab w:val="left" w:pos="3115"/>
        <w:tab w:val="right" w:pos="9720"/>
      </w:tabs>
      <w:jc w:val="left"/>
      <w:rPr>
        <w:szCs w:val="18"/>
      </w:rPr>
    </w:pPr>
    <w:r>
      <w:rPr>
        <w:szCs w:val="18"/>
      </w:rPr>
      <w:tab/>
    </w:r>
    <w:r>
      <w:rPr>
        <w:szCs w:val="18"/>
      </w:rPr>
      <w:tab/>
    </w:r>
    <w:r>
      <w:rPr>
        <w:szCs w:val="18"/>
      </w:rPr>
      <w:tab/>
    </w:r>
    <w:r w:rsidR="0008070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750F94" w:rsidRPr="00732A0E" w:rsidRDefault="00750F94"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080705">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750F94">
      <w:tab/>
    </w:r>
    <w:r w:rsidR="00750F94">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3218C"/>
    <w:rsid w:val="003332A3"/>
    <w:rsid w:val="00334879"/>
    <w:rsid w:val="00336CBB"/>
    <w:rsid w:val="00340FD7"/>
    <w:rsid w:val="0034526E"/>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Avaya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1105D-ACF4-4E0C-A9DE-5668D7EB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4533</TotalTime>
  <Pages>117</Pages>
  <Words>37111</Words>
  <Characters>211535</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302</cp:revision>
  <cp:lastPrinted>2017-03-20T13:20:00Z</cp:lastPrinted>
  <dcterms:created xsi:type="dcterms:W3CDTF">2016-01-13T14:29:00Z</dcterms:created>
  <dcterms:modified xsi:type="dcterms:W3CDTF">2017-05-04T13:32:00Z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