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2042E4C" w:rsidR="00ED37A3" w:rsidRDefault="00513FD9" w:rsidP="0056341A">
            <w:pPr>
              <w:ind w:left="-12" w:right="-270"/>
              <w:jc w:val="center"/>
              <w:rPr>
                <w:rFonts w:ascii="Times New Roman (PCL6)" w:hAnsi="Times New Roman (PCL6)"/>
              </w:rPr>
            </w:pPr>
            <w:r>
              <w:rPr>
                <w:rFonts w:ascii="Times New Roman (PCL6)" w:hAnsi="Times New Roman (PCL6)"/>
              </w:rPr>
              <w:t>0</w:t>
            </w:r>
            <w:r w:rsidR="00772255">
              <w:rPr>
                <w:rFonts w:ascii="Times New Roman (PCL6)" w:hAnsi="Times New Roman (PCL6)"/>
              </w:rPr>
              <w:t>8</w:t>
            </w:r>
            <w:r w:rsidR="00C96700">
              <w:rPr>
                <w:rFonts w:ascii="Times New Roman (PCL6)" w:hAnsi="Times New Roman (PCL6)"/>
              </w:rPr>
              <w:t>/</w:t>
            </w:r>
            <w:r w:rsidR="004E0D5A">
              <w:rPr>
                <w:rFonts w:ascii="Times New Roman (PCL6)" w:hAnsi="Times New Roman (PCL6)"/>
              </w:rPr>
              <w:t>2</w:t>
            </w:r>
            <w:r w:rsidR="00C3371E">
              <w:rPr>
                <w:rFonts w:ascii="Times New Roman (PCL6)" w:hAnsi="Times New Roman (PCL6)"/>
              </w:rPr>
              <w:t>7</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95E2B94" w:rsidR="00ED37A3" w:rsidRPr="0016723E" w:rsidRDefault="001C6520" w:rsidP="0056341A">
            <w:r w:rsidRPr="001C6520">
              <w:t>TFS1</w:t>
            </w:r>
            <w:r w:rsidR="00772255">
              <w:t>8</w:t>
            </w:r>
            <w:r w:rsidR="004E0D5A">
              <w:t>255</w:t>
            </w:r>
            <w:r w:rsidRPr="001C6520">
              <w:t xml:space="preserve"> – </w:t>
            </w:r>
            <w:proofErr w:type="spellStart"/>
            <w:r w:rsidRPr="001C6520">
              <w:t>eCL</w:t>
            </w:r>
            <w:proofErr w:type="spellEnd"/>
            <w:r w:rsidRPr="001C6520">
              <w:t xml:space="preserve"> </w:t>
            </w:r>
            <w:r w:rsidR="004E0D5A">
              <w:t xml:space="preserve">Work </w:t>
            </w:r>
            <w:r w:rsidR="005A4C86">
              <w:t>a</w:t>
            </w:r>
            <w:r w:rsidR="004E0D5A">
              <w:t>t Home log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21059">
        <w:trPr>
          <w:cantSplit/>
          <w:trHeight w:val="300"/>
        </w:trPr>
        <w:tc>
          <w:tcPr>
            <w:tcW w:w="1797" w:type="dxa"/>
            <w:shd w:val="clear" w:color="auto" w:fill="auto"/>
            <w:vAlign w:val="center"/>
          </w:tcPr>
          <w:p w14:paraId="6E95F527" w14:textId="57B51D9C" w:rsidR="004E0D5A" w:rsidRDefault="004E0D5A" w:rsidP="00D21059">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21059">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21059">
            <w:pPr>
              <w:rPr>
                <w:color w:val="000000"/>
              </w:rPr>
            </w:pPr>
            <w:r w:rsidRPr="007D71F0">
              <w:rPr>
                <w:color w:val="000000"/>
              </w:rPr>
              <w:t>Discretionary Approved by Ops</w:t>
            </w:r>
          </w:p>
          <w:p w14:paraId="62091496" w14:textId="77777777" w:rsidR="004E0D5A" w:rsidRPr="007D71F0" w:rsidRDefault="004E0D5A" w:rsidP="00D21059">
            <w:pPr>
              <w:rPr>
                <w:color w:val="000000"/>
              </w:rPr>
            </w:pPr>
            <w:r w:rsidRPr="007D71F0">
              <w:rPr>
                <w:color w:val="000000"/>
              </w:rPr>
              <w:t>Employee Accepted an On-Site Position</w:t>
            </w:r>
          </w:p>
          <w:p w14:paraId="1167AB11" w14:textId="77777777" w:rsidR="004E0D5A" w:rsidRPr="007D71F0" w:rsidRDefault="004E0D5A" w:rsidP="00D21059">
            <w:pPr>
              <w:rPr>
                <w:color w:val="000000"/>
              </w:rPr>
            </w:pPr>
            <w:r w:rsidRPr="007D71F0">
              <w:rPr>
                <w:color w:val="000000"/>
              </w:rPr>
              <w:t>Employee Did not Meet Equipment Requirements</w:t>
            </w:r>
          </w:p>
          <w:p w14:paraId="511A6638" w14:textId="77777777" w:rsidR="004E0D5A" w:rsidRDefault="004E0D5A" w:rsidP="00D21059">
            <w:pPr>
              <w:rPr>
                <w:color w:val="000000"/>
              </w:rPr>
            </w:pPr>
            <w:r w:rsidRPr="007D71F0">
              <w:rPr>
                <w:color w:val="000000"/>
              </w:rPr>
              <w:t>Employee Requested to Return to the Site</w:t>
            </w:r>
          </w:p>
          <w:p w14:paraId="7CD05146" w14:textId="77777777" w:rsidR="004E0D5A" w:rsidRPr="007D71F0" w:rsidRDefault="004E0D5A" w:rsidP="00D2105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21059">
        <w:trPr>
          <w:cantSplit/>
          <w:trHeight w:val="300"/>
        </w:trPr>
        <w:tc>
          <w:tcPr>
            <w:tcW w:w="1797" w:type="dxa"/>
            <w:shd w:val="clear" w:color="auto" w:fill="auto"/>
            <w:vAlign w:val="center"/>
          </w:tcPr>
          <w:p w14:paraId="5289E66E" w14:textId="115B6455" w:rsidR="004E0D5A" w:rsidRDefault="004E0D5A" w:rsidP="00D21059">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21059">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21059">
            <w:pPr>
              <w:rPr>
                <w:color w:val="000000"/>
              </w:rPr>
            </w:pPr>
            <w:r w:rsidRPr="007D71F0">
              <w:rPr>
                <w:color w:val="000000"/>
              </w:rPr>
              <w:t>Discretionary Approved by Ops</w:t>
            </w:r>
          </w:p>
          <w:p w14:paraId="6A9165E1" w14:textId="77777777" w:rsidR="004E0D5A" w:rsidRPr="007D71F0" w:rsidRDefault="004E0D5A" w:rsidP="00D21059">
            <w:pPr>
              <w:rPr>
                <w:color w:val="000000"/>
              </w:rPr>
            </w:pPr>
            <w:r w:rsidRPr="007D71F0">
              <w:rPr>
                <w:color w:val="000000"/>
              </w:rPr>
              <w:t>Employee Accepted an On-Site Position</w:t>
            </w:r>
          </w:p>
          <w:p w14:paraId="66FE590E" w14:textId="77777777" w:rsidR="004E0D5A" w:rsidRPr="007D71F0" w:rsidRDefault="004E0D5A" w:rsidP="00D21059">
            <w:pPr>
              <w:rPr>
                <w:color w:val="000000"/>
              </w:rPr>
            </w:pPr>
            <w:r w:rsidRPr="007D71F0">
              <w:rPr>
                <w:color w:val="000000"/>
              </w:rPr>
              <w:t>Employee Did not Meet Equipment Requirements</w:t>
            </w:r>
          </w:p>
          <w:p w14:paraId="46AB52A4" w14:textId="77777777" w:rsidR="004E0D5A" w:rsidRDefault="004E0D5A" w:rsidP="00D21059">
            <w:pPr>
              <w:rPr>
                <w:color w:val="000000"/>
              </w:rPr>
            </w:pPr>
            <w:r w:rsidRPr="007D71F0">
              <w:rPr>
                <w:color w:val="000000"/>
              </w:rPr>
              <w:t>Employee Requested to Return to the Site</w:t>
            </w:r>
          </w:p>
          <w:p w14:paraId="358E2E47" w14:textId="77777777" w:rsidR="004E0D5A" w:rsidRPr="007D71F0" w:rsidRDefault="004E0D5A" w:rsidP="00D21059">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603D95B6" w:rsidR="00C3371E" w:rsidRDefault="00C3371E" w:rsidP="0025641E">
      <w:pPr>
        <w:ind w:left="1440"/>
      </w:pPr>
      <w:r>
        <w:tab/>
        <w:t>Pending Employee Review when coaching log reason is Work at Home (Return to Site)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21059">
        <w:trPr>
          <w:trHeight w:val="300"/>
        </w:trPr>
        <w:tc>
          <w:tcPr>
            <w:tcW w:w="1170" w:type="dxa"/>
            <w:shd w:val="clear" w:color="auto" w:fill="auto"/>
            <w:hideMark/>
          </w:tcPr>
          <w:p w14:paraId="0DEF2EE0" w14:textId="77777777" w:rsidR="009347B6" w:rsidRPr="009605ED" w:rsidRDefault="009347B6" w:rsidP="00D21059">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21059">
            <w:pPr>
              <w:rPr>
                <w:color w:val="000000"/>
              </w:rPr>
            </w:pPr>
            <w:r>
              <w:rPr>
                <w:color w:val="000000"/>
              </w:rPr>
              <w:t>Attendance</w:t>
            </w:r>
          </w:p>
        </w:tc>
        <w:tc>
          <w:tcPr>
            <w:tcW w:w="2331" w:type="dxa"/>
          </w:tcPr>
          <w:p w14:paraId="30BE4FE7" w14:textId="77777777" w:rsidR="009347B6" w:rsidRPr="009605ED" w:rsidRDefault="009347B6" w:rsidP="00D21059">
            <w:pPr>
              <w:rPr>
                <w:color w:val="000000"/>
              </w:rPr>
            </w:pPr>
            <w:r>
              <w:rPr>
                <w:color w:val="000000"/>
              </w:rPr>
              <w:t>Discrepancy Tracking</w:t>
            </w:r>
          </w:p>
        </w:tc>
        <w:tc>
          <w:tcPr>
            <w:tcW w:w="1978" w:type="dxa"/>
          </w:tcPr>
          <w:p w14:paraId="100C24EA" w14:textId="77777777" w:rsidR="009347B6" w:rsidRPr="009605ED" w:rsidRDefault="009347B6" w:rsidP="00D21059">
            <w:pPr>
              <w:rPr>
                <w:color w:val="000000"/>
              </w:rPr>
            </w:pPr>
            <w:r>
              <w:rPr>
                <w:color w:val="000000"/>
              </w:rPr>
              <w:t>Opportunity</w:t>
            </w:r>
          </w:p>
        </w:tc>
        <w:tc>
          <w:tcPr>
            <w:tcW w:w="1782" w:type="dxa"/>
          </w:tcPr>
          <w:p w14:paraId="3CF0F03D" w14:textId="77777777" w:rsidR="009347B6" w:rsidRDefault="009347B6" w:rsidP="00D21059">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21059">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21059">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21059">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proofErr w:type="gramStart"/>
            <w:r>
              <w:rPr>
                <w:color w:val="000000"/>
              </w:rPr>
              <w:t>Recipient  Supervisor</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21059">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21059">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21059">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21059">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21059">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21059">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lastRenderedPageBreak/>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lastRenderedPageBreak/>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5E52E" w14:textId="77777777" w:rsidR="002C4789" w:rsidRDefault="002C4789">
      <w:r>
        <w:separator/>
      </w:r>
    </w:p>
  </w:endnote>
  <w:endnote w:type="continuationSeparator" w:id="0">
    <w:p w14:paraId="5BE01D07" w14:textId="77777777" w:rsidR="002C4789" w:rsidRDefault="002C4789">
      <w:r>
        <w:continuationSeparator/>
      </w:r>
    </w:p>
  </w:endnote>
  <w:endnote w:type="continuationNotice" w:id="1">
    <w:p w14:paraId="3AEB116E" w14:textId="77777777" w:rsidR="002C4789" w:rsidRDefault="002C4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1C6520" w:rsidRDefault="001C6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C6520" w:rsidRDefault="001C6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1C6520" w:rsidRPr="00BA590C" w:rsidRDefault="001C652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1C6520" w:rsidRPr="00BA590C" w:rsidRDefault="001C652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1C6520" w:rsidRPr="00732A0E" w:rsidRDefault="001C65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1C6520" w:rsidRDefault="001C652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B08C2" w14:textId="77777777" w:rsidR="002C4789" w:rsidRDefault="002C4789">
      <w:r>
        <w:separator/>
      </w:r>
    </w:p>
  </w:footnote>
  <w:footnote w:type="continuationSeparator" w:id="0">
    <w:p w14:paraId="33A9777E" w14:textId="77777777" w:rsidR="002C4789" w:rsidRDefault="002C4789">
      <w:r>
        <w:continuationSeparator/>
      </w:r>
    </w:p>
  </w:footnote>
  <w:footnote w:type="continuationNotice" w:id="1">
    <w:p w14:paraId="1CEFE968" w14:textId="77777777" w:rsidR="002C4789" w:rsidRDefault="002C47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1C6520" w:rsidRPr="0068071B" w:rsidRDefault="001C6520"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1C6520" w:rsidRPr="00732A0E" w:rsidRDefault="001C652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1C6520" w:rsidRDefault="001C652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11813</TotalTime>
  <Pages>185</Pages>
  <Words>57284</Words>
  <Characters>326524</Characters>
  <Application>Microsoft Office Word</Application>
  <DocSecurity>0</DocSecurity>
  <Lines>2721</Lines>
  <Paragraphs>766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113</cp:revision>
  <cp:lastPrinted>2019-10-18T13:43:00Z</cp:lastPrinted>
  <dcterms:created xsi:type="dcterms:W3CDTF">2019-07-17T04:19:00Z</dcterms:created>
  <dcterms:modified xsi:type="dcterms:W3CDTF">2020-08-27T13:04:00Z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