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7DAE9818"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451F0">
        <w:rPr>
          <w:rFonts w:ascii="Arial" w:hAnsi="Arial"/>
          <w:b/>
          <w:color w:val="000000" w:themeColor="text1"/>
          <w:sz w:val="28"/>
        </w:rPr>
        <w:t>1.8</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5178C3D8" w:rsidR="00167A2E" w:rsidRDefault="00167A2E" w:rsidP="00E70F3D">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C1277D">
              <w:rPr>
                <w:rFonts w:ascii="Times New Roman (PCL6)" w:hAnsi="Times New Roman (PCL6)"/>
                <w:color w:val="000000" w:themeColor="text1"/>
                <w:sz w:val="20"/>
              </w:rPr>
              <w:t>8</w:t>
            </w:r>
            <w:r>
              <w:rPr>
                <w:rFonts w:ascii="Times New Roman (PCL6)" w:hAnsi="Times New Roman (PCL6)"/>
                <w:color w:val="000000" w:themeColor="text1"/>
                <w:sz w:val="20"/>
              </w:rPr>
              <w:t>/</w:t>
            </w:r>
            <w:r w:rsidR="00C1277D">
              <w:rPr>
                <w:rFonts w:ascii="Times New Roman (PCL6)" w:hAnsi="Times New Roman (PCL6)"/>
                <w:color w:val="000000" w:themeColor="text1"/>
                <w:sz w:val="20"/>
              </w:rPr>
              <w:t>0</w:t>
            </w:r>
            <w:r w:rsidR="00E70F3D">
              <w:rPr>
                <w:rFonts w:ascii="Times New Roman (PCL6)" w:hAnsi="Times New Roman (PCL6)"/>
                <w:color w:val="000000" w:themeColor="text1"/>
                <w:sz w:val="20"/>
              </w:rPr>
              <w:t>8</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CE43129" w:rsidR="00167A2E" w:rsidRDefault="00E0640E" w:rsidP="00E0640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P13263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FFM ARC job codes to submit</w:t>
            </w:r>
          </w:p>
        </w:tc>
      </w:tr>
    </w:tbl>
    <w:p w14:paraId="3ECE7BFD" w14:textId="1253A2B7" w:rsidR="008747B8" w:rsidRPr="00A525FE" w:rsidRDefault="00E70F3D"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E70F3D"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38788C7E"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Pr>
          <w:rFonts w:cs="Arial"/>
          <w:sz w:val="20"/>
          <w:szCs w:val="20"/>
        </w:rPr>
        <w:t xml:space="preserve">1 and WACS03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3BFAB4AC"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w:t>
      </w:r>
      <w:bookmarkStart w:id="24" w:name="_GoBack"/>
      <w:bookmarkEnd w:id="24"/>
      <w:r w:rsidRPr="006E5169">
        <w:rPr>
          <w:rFonts w:cs="Arial"/>
          <w:sz w:val="20"/>
          <w:szCs w:val="20"/>
        </w:rPr>
        <w:t>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675B2E72"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WACS01</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lastRenderedPageBreak/>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w:t>
            </w:r>
            <w:r>
              <w:rPr>
                <w:rFonts w:cstheme="minorHAnsi"/>
                <w:sz w:val="16"/>
                <w:szCs w:val="16"/>
              </w:rPr>
              <w:lastRenderedPageBreak/>
              <w:t>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lastRenderedPageBreak/>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CSR Name, Supervisor Name, Manager </w:t>
            </w:r>
            <w:r>
              <w:rPr>
                <w:rFonts w:cstheme="minorHAnsi"/>
                <w:sz w:val="16"/>
                <w:szCs w:val="16"/>
              </w:rPr>
              <w:lastRenderedPageBreak/>
              <w:t xml:space="preserve">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lastRenderedPageBreak/>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lastRenderedPageBreak/>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E70F3D"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E70F3D"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9C81E" w14:textId="77777777" w:rsidR="00ED15A2" w:rsidRDefault="00ED15A2" w:rsidP="0058110C">
      <w:pPr>
        <w:spacing w:after="0" w:line="240" w:lineRule="auto"/>
      </w:pPr>
      <w:r>
        <w:separator/>
      </w:r>
    </w:p>
  </w:endnote>
  <w:endnote w:type="continuationSeparator" w:id="0">
    <w:p w14:paraId="720FB67E" w14:textId="77777777" w:rsidR="00ED15A2" w:rsidRDefault="00ED15A2"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E70F3D" w:rsidRDefault="00E70F3D"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E70F3D" w:rsidRDefault="00E70F3D"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143F68">
      <w:rPr>
        <w:rStyle w:val="PageNumber"/>
        <w:noProof/>
        <w:sz w:val="18"/>
        <w:szCs w:val="18"/>
      </w:rPr>
      <w:t>38</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143F68">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E70F3D" w:rsidRDefault="00E70F3D"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E70F3D" w:rsidRDefault="00E70F3D"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963CB">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963CB">
              <w:rPr>
                <w:b/>
                <w:noProof/>
              </w:rPr>
              <w:t>64</w:t>
            </w:r>
            <w:r>
              <w:rPr>
                <w:b/>
                <w:sz w:val="24"/>
                <w:szCs w:val="24"/>
              </w:rPr>
              <w:fldChar w:fldCharType="end"/>
            </w:r>
          </w:p>
        </w:sdtContent>
      </w:sdt>
    </w:sdtContent>
  </w:sdt>
  <w:p w14:paraId="6E63AB7B" w14:textId="77777777" w:rsidR="00E70F3D" w:rsidRDefault="00E7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DDBE7" w14:textId="77777777" w:rsidR="00ED15A2" w:rsidRDefault="00ED15A2" w:rsidP="0058110C">
      <w:pPr>
        <w:spacing w:after="0" w:line="240" w:lineRule="auto"/>
      </w:pPr>
      <w:r>
        <w:separator/>
      </w:r>
    </w:p>
  </w:footnote>
  <w:footnote w:type="continuationSeparator" w:id="0">
    <w:p w14:paraId="73CAFE60" w14:textId="77777777" w:rsidR="00ED15A2" w:rsidRDefault="00ED15A2"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E70F3D" w:rsidRPr="004913FD" w:rsidRDefault="00E70F3D"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E70F3D" w:rsidRPr="00B8788F" w:rsidRDefault="00E70F3D">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3F68"/>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01D0A"/>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215F"/>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277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63CB"/>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0640E"/>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0F3D"/>
    <w:rsid w:val="00E73F7A"/>
    <w:rsid w:val="00E7633D"/>
    <w:rsid w:val="00E80069"/>
    <w:rsid w:val="00E8728C"/>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C1D4F3-E12A-4E53-B689-A3DBFDB7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64</Pages>
  <Words>11432</Words>
  <Characters>65167</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10</cp:revision>
  <cp:lastPrinted>2014-07-24T20:04:00Z</cp:lastPrinted>
  <dcterms:created xsi:type="dcterms:W3CDTF">2014-07-23T15:15:00Z</dcterms:created>
  <dcterms:modified xsi:type="dcterms:W3CDTF">2014-08-08T17:12:00Z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