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77777777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0F84348E" w14:textId="48D44A08" w:rsidR="008C3C45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152806CA" w:rsidR="008545C7" w:rsidRPr="002E1E0C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2B48F8E1" w:rsidR="008545C7" w:rsidRPr="002E1E0C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4A91E9EF" w14:textId="714B19EC" w:rsidR="008545C7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68F2FD91" w14:textId="3AC5704A" w:rsidR="009A4271" w:rsidRPr="002E1E0C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22 Perfect Shifts, APW – 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77777777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>For 22 perfect shifts:</w:t>
                  </w:r>
                  <w:r>
                    <w:rPr>
                      <w:color w:val="000000"/>
                    </w:rPr>
                    <w:t>  “Congratulations on a fantastic streak of perfect attendance! Your last 22 shifts were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</w:t>
                  </w:r>
                  <w:r>
                    <w:rPr>
                      <w:color w:val="000000"/>
                    </w:rPr>
                    <w:lastRenderedPageBreak/>
                    <w:t>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44B96" w14:textId="77777777" w:rsidR="00491DC8" w:rsidRDefault="00491DC8">
      <w:r>
        <w:separator/>
      </w:r>
    </w:p>
  </w:endnote>
  <w:endnote w:type="continuationSeparator" w:id="0">
    <w:p w14:paraId="38ADB472" w14:textId="77777777" w:rsidR="00491DC8" w:rsidRDefault="0049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A3BF" w14:textId="77777777" w:rsidR="00491DC8" w:rsidRDefault="00491DC8">
      <w:r>
        <w:separator/>
      </w:r>
    </w:p>
  </w:footnote>
  <w:footnote w:type="continuationSeparator" w:id="0">
    <w:p w14:paraId="29021364" w14:textId="77777777" w:rsidR="00491DC8" w:rsidRDefault="00491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361</TotalTime>
  <Pages>8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7169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29</cp:revision>
  <cp:lastPrinted>2016-12-08T20:53:00Z</cp:lastPrinted>
  <dcterms:created xsi:type="dcterms:W3CDTF">2016-03-08T13:19:00Z</dcterms:created>
  <dcterms:modified xsi:type="dcterms:W3CDTF">2020-07-28T16:51:00Z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