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Start w:id="1" w:name="_GoBack"/>
      <w:bookmarkEnd w:id="0"/>
      <w:bookmarkEnd w:id="1"/>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0" w14:textId="77777777" w:rsidR="00EF61A6" w:rsidRPr="00D678CA" w:rsidRDefault="007F1DD2" w:rsidP="00145E4D">
      <w:pPr>
        <w:ind w:right="-270"/>
        <w:jc w:val="center"/>
        <w:rPr>
          <w:rFonts w:ascii="Century Schoolbook" w:hAnsi="Century Schoolbook"/>
        </w:rPr>
      </w:pPr>
      <w:r w:rsidRPr="00D678CA">
        <w:rPr>
          <w:noProof/>
        </w:rPr>
        <w:drawing>
          <wp:inline distT="0" distB="0" distL="0" distR="0" wp14:anchorId="4A91EA18" wp14:editId="4A91EA19">
            <wp:extent cx="3124200" cy="466725"/>
            <wp:effectExtent l="19050" t="0" r="0" b="0"/>
            <wp:docPr id="1" name="Picture 1" descr="http://cwe.ic.ncs.com/sites/CommunicationsGateway/VangentResourceCenter/Tools%20and%20Resources%20Document%20Library/Logos/VangentLogo_2-color_FOR_WOR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we.ic.ncs.com/sites/CommunicationsGateway/VangentResourceCenter/Tools%20and%20Resources%20Document%20Library/Logos/VangentLogo_2-color_FOR_WORD.emf"/>
                    <pic:cNvPicPr>
                      <a:picLocks noChangeAspect="1" noChangeArrowheads="1"/>
                    </pic:cNvPicPr>
                  </pic:nvPicPr>
                  <pic:blipFill>
                    <a:blip r:embed="rId12" r:link="rId13" cstate="print"/>
                    <a:srcRect/>
                    <a:stretch>
                      <a:fillRect/>
                    </a:stretch>
                  </pic:blipFill>
                  <pic:spPr bwMode="auto">
                    <a:xfrm>
                      <a:off x="0" y="0"/>
                      <a:ext cx="3124200" cy="466725"/>
                    </a:xfrm>
                    <a:prstGeom prst="rect">
                      <a:avLst/>
                    </a:prstGeom>
                    <a:noFill/>
                    <a:ln w="9525">
                      <a:noFill/>
                      <a:miter lim="800000"/>
                      <a:headEnd/>
                      <a:tailEnd/>
                    </a:ln>
                  </pic:spPr>
                </pic:pic>
              </a:graphicData>
            </a:graphic>
          </wp:inline>
        </w:drawing>
      </w:r>
    </w:p>
    <w:p w14:paraId="4A91E931" w14:textId="77777777" w:rsidR="00EF61A6" w:rsidRPr="00D678CA" w:rsidRDefault="00EF61A6" w:rsidP="00145E4D">
      <w:pPr>
        <w:ind w:right="-270"/>
        <w:jc w:val="center"/>
        <w:rPr>
          <w:rFonts w:ascii="Century Schoolbook" w:hAnsi="Century Schoolbook"/>
        </w:rPr>
      </w:pP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77777777"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CSD 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bl>
    <w:p w14:paraId="512E9DA6" w14:textId="70347F56"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Coaching</w:t>
      </w:r>
    </w:p>
    <w:p w14:paraId="5EABEE75" w14:textId="77777777" w:rsidR="00F61317" w:rsidRPr="00242AF9" w:rsidRDefault="00F61317" w:rsidP="00F61317">
      <w:pPr>
        <w:pStyle w:val="ListParagraph"/>
        <w:numPr>
          <w:ilvl w:val="0"/>
          <w:numId w:val="12"/>
        </w:numPr>
        <w:autoSpaceDE w:val="0"/>
        <w:autoSpaceDN w:val="0"/>
        <w:rPr>
          <w:sz w:val="24"/>
          <w:szCs w:val="24"/>
        </w:rPr>
      </w:pPr>
      <w:r w:rsidRPr="00242AF9">
        <w:rPr>
          <w:sz w:val="24"/>
          <w:szCs w:val="24"/>
        </w:rPr>
        <w:t>ARC Supervisor</w:t>
      </w:r>
    </w:p>
    <w:p w14:paraId="07512A07"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Vangent QA</w:t>
      </w:r>
    </w:p>
    <w:p w14:paraId="55A09287"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Coaching</w:t>
      </w:r>
    </w:p>
    <w:p w14:paraId="3DA5EF89"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Supervisor</w:t>
      </w:r>
    </w:p>
    <w:p w14:paraId="7297F835" w14:textId="206A1216" w:rsidR="008F1243" w:rsidRPr="00242AF9" w:rsidRDefault="008F1243" w:rsidP="008F12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VQA</w:t>
      </w:r>
    </w:p>
    <w:p w14:paraId="5436A922"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Coaching</w:t>
      </w:r>
    </w:p>
    <w:p w14:paraId="7C710159"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w:t>
      </w:r>
    </w:p>
    <w:p w14:paraId="164D9DA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 Coaching</w:t>
      </w:r>
    </w:p>
    <w:p w14:paraId="470D2EEA" w14:textId="28792BFF" w:rsidR="008F1243" w:rsidRPr="00242AF9" w:rsidRDefault="008F1243" w:rsidP="008F1243">
      <w:pPr>
        <w:pStyle w:val="ListParagraph"/>
        <w:numPr>
          <w:ilvl w:val="0"/>
          <w:numId w:val="12"/>
        </w:numPr>
        <w:autoSpaceDE w:val="0"/>
        <w:autoSpaceDN w:val="0"/>
        <w:rPr>
          <w:sz w:val="24"/>
          <w:szCs w:val="24"/>
        </w:rPr>
      </w:pPr>
      <w:r w:rsidRPr="00242AF9">
        <w:rPr>
          <w:sz w:val="24"/>
          <w:szCs w:val="24"/>
        </w:rPr>
        <w:t>QCM Supervisor</w:t>
      </w:r>
    </w:p>
    <w:p w14:paraId="353D63F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Vangent QA</w:t>
      </w:r>
    </w:p>
    <w:p w14:paraId="405F4D3D" w14:textId="3E2CCB33" w:rsidR="008F1243" w:rsidRPr="00242AF9" w:rsidRDefault="008F1243" w:rsidP="00797D1B">
      <w:pPr>
        <w:pStyle w:val="ListParagraph"/>
        <w:numPr>
          <w:ilvl w:val="0"/>
          <w:numId w:val="12"/>
        </w:numPr>
        <w:autoSpaceDE w:val="0"/>
        <w:autoSpaceDN w:val="0"/>
        <w:rPr>
          <w:sz w:val="24"/>
          <w:szCs w:val="24"/>
        </w:rPr>
      </w:pPr>
      <w:r w:rsidRPr="00242AF9">
        <w:rPr>
          <w:sz w:val="24"/>
          <w:szCs w:val="24"/>
        </w:rPr>
        <w:t>QWCM Coaching</w:t>
      </w:r>
    </w:p>
    <w:p w14:paraId="33C560DA" w14:textId="391D94CA" w:rsidR="00242AF9" w:rsidRPr="00242AF9" w:rsidRDefault="00242AF9" w:rsidP="00242AF9">
      <w:pPr>
        <w:pStyle w:val="ListParagraph"/>
        <w:numPr>
          <w:ilvl w:val="0"/>
          <w:numId w:val="12"/>
        </w:numPr>
        <w:rPr>
          <w:sz w:val="24"/>
          <w:szCs w:val="24"/>
        </w:rPr>
      </w:pPr>
      <w:r w:rsidRPr="00242AF9">
        <w:rPr>
          <w:sz w:val="24"/>
          <w:szCs w:val="24"/>
        </w:rPr>
        <w:t>QWCM ISG</w:t>
      </w:r>
    </w:p>
    <w:p w14:paraId="1814A204"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Supervisor</w:t>
      </w:r>
    </w:p>
    <w:p w14:paraId="6A9838D6"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Vangent QA</w:t>
      </w:r>
    </w:p>
    <w:p w14:paraId="2D41DAB8" w14:textId="5E940ABD" w:rsidR="00925A43" w:rsidRPr="00242AF9" w:rsidRDefault="00925A43" w:rsidP="00797D1B">
      <w:pPr>
        <w:pStyle w:val="ListParagraph"/>
        <w:numPr>
          <w:ilvl w:val="0"/>
          <w:numId w:val="12"/>
        </w:numPr>
        <w:autoSpaceDE w:val="0"/>
        <w:autoSpaceDN w:val="0"/>
        <w:rPr>
          <w:rStyle w:val="Strong"/>
          <w:b w:val="0"/>
          <w:bCs w:val="0"/>
          <w:sz w:val="24"/>
          <w:szCs w:val="24"/>
        </w:rPr>
      </w:pPr>
      <w:r w:rsidRPr="00242AF9">
        <w:rPr>
          <w:sz w:val="24"/>
          <w:szCs w:val="24"/>
        </w:rPr>
        <w:t>Web Chat Coaching</w:t>
      </w:r>
    </w:p>
    <w:p w14:paraId="3EE382CC" w14:textId="77777777" w:rsidR="00242AF9" w:rsidRPr="00242AF9" w:rsidRDefault="00242AF9" w:rsidP="00242AF9">
      <w:pPr>
        <w:pStyle w:val="ListParagraph"/>
        <w:numPr>
          <w:ilvl w:val="0"/>
          <w:numId w:val="12"/>
        </w:numPr>
        <w:rPr>
          <w:sz w:val="24"/>
          <w:szCs w:val="24"/>
        </w:rPr>
      </w:pPr>
      <w:r w:rsidRPr="00242AF9">
        <w:rPr>
          <w:sz w:val="24"/>
          <w:szCs w:val="24"/>
        </w:rPr>
        <w:t>Web Chat ISG</w:t>
      </w:r>
    </w:p>
    <w:p w14:paraId="43C9E654" w14:textId="77777777" w:rsidR="00242AF9" w:rsidRPr="00242AF9" w:rsidRDefault="00242AF9" w:rsidP="00242AF9">
      <w:pPr>
        <w:pStyle w:val="ListParagraph"/>
        <w:numPr>
          <w:ilvl w:val="0"/>
          <w:numId w:val="12"/>
        </w:numPr>
        <w:rPr>
          <w:sz w:val="24"/>
          <w:szCs w:val="24"/>
        </w:rPr>
      </w:pPr>
      <w:r w:rsidRPr="00242AF9">
        <w:rPr>
          <w:sz w:val="24"/>
          <w:szCs w:val="24"/>
        </w:rPr>
        <w:t>Web Chat QA</w:t>
      </w:r>
    </w:p>
    <w:p w14:paraId="2322E551" w14:textId="16831ABD" w:rsidR="008F1243" w:rsidRPr="00242AF9" w:rsidRDefault="008F1243" w:rsidP="008F1243">
      <w:pPr>
        <w:pStyle w:val="ListParagraph"/>
        <w:numPr>
          <w:ilvl w:val="0"/>
          <w:numId w:val="12"/>
        </w:numPr>
        <w:autoSpaceDE w:val="0"/>
        <w:autoSpaceDN w:val="0"/>
        <w:rPr>
          <w:sz w:val="24"/>
          <w:szCs w:val="24"/>
        </w:rPr>
      </w:pPr>
      <w:r w:rsidRPr="00242AF9">
        <w:rPr>
          <w:sz w:val="24"/>
          <w:szCs w:val="24"/>
        </w:rPr>
        <w:t>Web Chat Supervisor</w:t>
      </w:r>
    </w:p>
    <w:p w14:paraId="3E5341E5" w14:textId="28E70332" w:rsidR="00BE5B93" w:rsidRPr="00242AF9" w:rsidRDefault="008F1243" w:rsidP="00242AF9">
      <w:pPr>
        <w:pStyle w:val="ListParagraph"/>
        <w:numPr>
          <w:ilvl w:val="0"/>
          <w:numId w:val="12"/>
        </w:numPr>
        <w:autoSpaceDE w:val="0"/>
        <w:autoSpaceDN w:val="0"/>
        <w:rPr>
          <w:sz w:val="24"/>
          <w:szCs w:val="24"/>
        </w:rPr>
      </w:pPr>
      <w:r w:rsidRPr="00242AF9">
        <w:rPr>
          <w:sz w:val="24"/>
          <w:szCs w:val="24"/>
        </w:rPr>
        <w:t>W</w:t>
      </w:r>
      <w:r w:rsidR="00925A43" w:rsidRPr="00242AF9">
        <w:rPr>
          <w:sz w:val="24"/>
          <w:szCs w:val="24"/>
        </w:rPr>
        <w:t>eb Chat Vangent QA</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lastRenderedPageBreak/>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Default="0055699E" w:rsidP="000D4FCC">
            <w:pPr>
              <w:rPr>
                <w:sz w:val="22"/>
                <w:szCs w:val="22"/>
              </w:rPr>
            </w:pPr>
            <w:r w:rsidRPr="00944A4F">
              <w:rPr>
                <w:sz w:val="22"/>
                <w:szCs w:val="22"/>
              </w:rPr>
              <w:t>The User ID of the person who created the evaluation.</w:t>
            </w:r>
          </w:p>
          <w:p w14:paraId="680463DB" w14:textId="77777777" w:rsidR="00673D59" w:rsidRDefault="00673D59" w:rsidP="000D4FCC">
            <w:pPr>
              <w:rPr>
                <w:sz w:val="22"/>
                <w:szCs w:val="22"/>
              </w:rPr>
            </w:pPr>
          </w:p>
          <w:p w14:paraId="4A91EA06" w14:textId="0B77A5B3" w:rsidR="00673D59" w:rsidRPr="00944A4F" w:rsidRDefault="00673D59" w:rsidP="000D4FCC">
            <w:pPr>
              <w:rPr>
                <w:sz w:val="22"/>
                <w:szCs w:val="22"/>
              </w:rPr>
            </w:pPr>
            <w:r>
              <w:rPr>
                <w:sz w:val="24"/>
                <w:szCs w:val="24"/>
              </w:rPr>
              <w:t>For IQA Scorecards, this will be 999999</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071460A9"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1F53F8EF" w14:textId="6B3B7F85" w:rsidR="0055699E" w:rsidRPr="00944A4F" w:rsidRDefault="00944A4F" w:rsidP="006F562B">
            <w:pPr>
              <w:rPr>
                <w:sz w:val="22"/>
                <w:szCs w:val="22"/>
              </w:rPr>
            </w:pPr>
            <w:r w:rsidRPr="00944A4F">
              <w:rPr>
                <w:sz w:val="22"/>
                <w:szCs w:val="22"/>
              </w:rPr>
              <w:t xml:space="preserve">Formerly Source: </w:t>
            </w:r>
            <w:r w:rsidR="0055699E" w:rsidRPr="00944A4F">
              <w:rPr>
                <w:sz w:val="22"/>
                <w:szCs w:val="22"/>
              </w:rPr>
              <w:t>Valid values will be based on the Role Code for the Coacher.</w:t>
            </w:r>
          </w:p>
          <w:p w14:paraId="7381B912" w14:textId="50F8F180" w:rsidR="0055699E" w:rsidRPr="00944A4F" w:rsidRDefault="0055699E" w:rsidP="00927D41">
            <w:pPr>
              <w:spacing w:before="120"/>
              <w:rPr>
                <w:sz w:val="22"/>
                <w:szCs w:val="22"/>
              </w:rPr>
            </w:pPr>
            <w:r w:rsidRPr="00944A4F">
              <w:rPr>
                <w:sz w:val="22"/>
                <w:szCs w:val="22"/>
              </w:rPr>
              <w:t xml:space="preserve">QAA role code = </w:t>
            </w:r>
            <w:r w:rsidR="000D4FCC">
              <w:rPr>
                <w:sz w:val="22"/>
                <w:szCs w:val="22"/>
              </w:rPr>
              <w:t xml:space="preserve">IQS </w:t>
            </w:r>
            <w:r w:rsidRPr="00944A4F">
              <w:rPr>
                <w:sz w:val="22"/>
                <w:szCs w:val="22"/>
              </w:rPr>
              <w:t xml:space="preserve"> Feed Quality Specialist</w:t>
            </w:r>
          </w:p>
          <w:p w14:paraId="52A5D5FC" w14:textId="20CE3C52" w:rsidR="0055699E" w:rsidRPr="00944A4F" w:rsidRDefault="0055699E" w:rsidP="006F562B">
            <w:pPr>
              <w:rPr>
                <w:sz w:val="22"/>
                <w:szCs w:val="22"/>
              </w:rPr>
            </w:pPr>
            <w:r w:rsidRPr="00944A4F">
              <w:rPr>
                <w:sz w:val="22"/>
                <w:szCs w:val="22"/>
              </w:rPr>
              <w:t xml:space="preserve">SUPR role code = </w:t>
            </w:r>
            <w:r w:rsidR="000D4FCC">
              <w:rPr>
                <w:sz w:val="22"/>
                <w:szCs w:val="22"/>
              </w:rPr>
              <w:t xml:space="preserve">IQS </w:t>
            </w:r>
            <w:r w:rsidRPr="00944A4F">
              <w:rPr>
                <w:sz w:val="22"/>
                <w:szCs w:val="22"/>
              </w:rPr>
              <w:t xml:space="preserve"> Feed Supervisor</w:t>
            </w:r>
          </w:p>
          <w:p w14:paraId="1B7EDB9F" w14:textId="4CDA19D9" w:rsidR="0055699E" w:rsidRPr="00944A4F" w:rsidRDefault="0055699E" w:rsidP="000D4FCC">
            <w:pPr>
              <w:rPr>
                <w:sz w:val="22"/>
                <w:szCs w:val="22"/>
              </w:rPr>
            </w:pPr>
            <w:r w:rsidRPr="00944A4F">
              <w:rPr>
                <w:sz w:val="22"/>
                <w:szCs w:val="22"/>
              </w:rPr>
              <w:t xml:space="preserve">All other role codes = </w:t>
            </w:r>
            <w:r w:rsidR="000D4FCC">
              <w:rPr>
                <w:sz w:val="22"/>
                <w:szCs w:val="22"/>
              </w:rPr>
              <w:t>IQS</w:t>
            </w:r>
            <w:r w:rsidRPr="00944A4F">
              <w:rPr>
                <w:sz w:val="22"/>
                <w:szCs w:val="22"/>
              </w:rPr>
              <w:t xml:space="preserve"> Feed Other</w:t>
            </w:r>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3992E084" w14:textId="77777777" w:rsidR="00424577" w:rsidRDefault="00424577" w:rsidP="00E210D7">
            <w:pPr>
              <w:rPr>
                <w:sz w:val="24"/>
                <w:szCs w:val="24"/>
              </w:rPr>
            </w:pPr>
            <w:r>
              <w:rPr>
                <w:sz w:val="24"/>
                <w:szCs w:val="24"/>
              </w:rPr>
              <w:t xml:space="preserve">For records from Lime Survey = </w:t>
            </w:r>
            <w:r w:rsidR="00E210D7">
              <w:rPr>
                <w:sz w:val="24"/>
                <w:szCs w:val="24"/>
              </w:rPr>
              <w:t>channel</w:t>
            </w:r>
          </w:p>
          <w:p w14:paraId="52BBF235" w14:textId="77777777" w:rsidR="00673D59" w:rsidRDefault="00673D59" w:rsidP="00E210D7">
            <w:pPr>
              <w:rPr>
                <w:sz w:val="24"/>
                <w:szCs w:val="24"/>
              </w:rPr>
            </w:pPr>
          </w:p>
          <w:p w14:paraId="11DF75D7" w14:textId="027A3625" w:rsidR="00673D59" w:rsidRDefault="00673D59" w:rsidP="00673D59">
            <w:pPr>
              <w:rPr>
                <w:sz w:val="22"/>
                <w:szCs w:val="22"/>
              </w:rPr>
            </w:pPr>
            <w:r>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4"/>
      <w:footerReference w:type="even" r:id="rId15"/>
      <w:footerReference w:type="default" r:id="rId16"/>
      <w:headerReference w:type="first" r:id="rId17"/>
      <w:footerReference w:type="first" r:id="rId18"/>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BF90D" w14:textId="77777777" w:rsidR="001B6FF7" w:rsidRDefault="001B6FF7">
      <w:r>
        <w:separator/>
      </w:r>
    </w:p>
  </w:endnote>
  <w:endnote w:type="continuationSeparator" w:id="0">
    <w:p w14:paraId="2A594447" w14:textId="77777777" w:rsidR="001B6FF7" w:rsidRDefault="001B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77777777" w:rsidR="00D86F5A" w:rsidRDefault="00D86F5A" w:rsidP="002D1775">
    <w:pPr>
      <w:tabs>
        <w:tab w:val="right" w:pos="9630"/>
      </w:tabs>
      <w:rPr>
        <w:sz w:val="18"/>
      </w:rPr>
    </w:pPr>
    <w:r>
      <w:rPr>
        <w:b/>
        <w:sz w:val="18"/>
      </w:rPr>
      <w:t>VANGENT PROPRIETARY - CONFIDENTIAL</w:t>
    </w:r>
    <w:r>
      <w:rPr>
        <w:sz w:val="18"/>
      </w:rPr>
      <w:t xml:space="preserve"> </w:t>
    </w:r>
  </w:p>
  <w:p w14:paraId="4A91EA2F" w14:textId="77777777" w:rsidR="00D86F5A" w:rsidRDefault="00D86F5A" w:rsidP="002D1775">
    <w:pPr>
      <w:tabs>
        <w:tab w:val="right" w:pos="9630"/>
      </w:tabs>
      <w:rPr>
        <w:sz w:val="18"/>
      </w:rPr>
    </w:pPr>
    <w:r>
      <w:rPr>
        <w:sz w:val="18"/>
      </w:rPr>
      <w:t xml:space="preserve">Copyright © 2011 Vangent, </w:t>
    </w:r>
    <w:proofErr w:type="spellStart"/>
    <w:r>
      <w:rPr>
        <w:sz w:val="18"/>
      </w:rPr>
      <w:t>Inc</w:t>
    </w:r>
    <w:proofErr w:type="spellEnd"/>
    <w:r>
      <w:rPr>
        <w:sz w:val="18"/>
      </w:rPr>
      <w:t xml:space="preserve">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7753D7">
      <w:rPr>
        <w:rStyle w:val="PageNumber"/>
        <w:noProof/>
        <w:sz w:val="18"/>
      </w:rPr>
      <w:t>1</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D9C8E" w14:textId="77777777" w:rsidR="001B6FF7" w:rsidRDefault="001B6FF7">
      <w:r>
        <w:separator/>
      </w:r>
    </w:p>
  </w:footnote>
  <w:footnote w:type="continuationSeparator" w:id="0">
    <w:p w14:paraId="6A50BD3C" w14:textId="77777777" w:rsidR="001B6FF7" w:rsidRDefault="001B6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1994"/>
    <w:rsid w:val="003F3E52"/>
    <w:rsid w:val="003F7B07"/>
    <w:rsid w:val="004012C1"/>
    <w:rsid w:val="004017E4"/>
    <w:rsid w:val="00412BAD"/>
    <w:rsid w:val="004244E4"/>
    <w:rsid w:val="00424577"/>
    <w:rsid w:val="00437000"/>
    <w:rsid w:val="00441F62"/>
    <w:rsid w:val="0044271E"/>
    <w:rsid w:val="00443FF1"/>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1431C"/>
    <w:rsid w:val="00D2502B"/>
    <w:rsid w:val="00D25397"/>
    <w:rsid w:val="00D30AE0"/>
    <w:rsid w:val="00D32584"/>
    <w:rsid w:val="00D34518"/>
    <w:rsid w:val="00D34D61"/>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http://cwe.ic.ncs.com/sites/CommunicationsGateway/VangentResourceCenter/Tools%20and%20Resources%20Document%20Library/Logos/VangentLogo_2-color_FOR_WORD.emf" TargetMode="Externa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3922624A-A8F7-49F4-97D4-BE64AE4C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3735</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9680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10</cp:revision>
  <cp:lastPrinted>2007-11-02T16:39:00Z</cp:lastPrinted>
  <dcterms:created xsi:type="dcterms:W3CDTF">2013-08-19T06:13:00Z</dcterms:created>
  <dcterms:modified xsi:type="dcterms:W3CDTF">2014-10-29T19:24:00Z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