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4406A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1FBBD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FBD96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9C80A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53DB8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r w:rsidRPr="001B4B50">
              <w:rPr>
                <w:sz w:val="20"/>
              </w:rPr>
              <w:t>eCoaching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TFS11451 – eCL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TFS14108-eCoaching – Modifications for Short Call eCoaching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>TFS17716 – eCL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07B2C" w:rsidRPr="00AB20C0" w14:paraId="57D71B3A" w14:textId="77777777" w:rsidTr="00873B8D">
        <w:trPr>
          <w:jc w:val="center"/>
        </w:trPr>
        <w:tc>
          <w:tcPr>
            <w:tcW w:w="1440" w:type="dxa"/>
          </w:tcPr>
          <w:p w14:paraId="01284A63" w14:textId="7EA02EBF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09/23/2020</w:t>
            </w:r>
          </w:p>
        </w:tc>
        <w:tc>
          <w:tcPr>
            <w:tcW w:w="6152" w:type="dxa"/>
          </w:tcPr>
          <w:p w14:paraId="453B6EA3" w14:textId="77777777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TFS18154 – eCL Incentive Data Feed</w:t>
            </w:r>
          </w:p>
          <w:p w14:paraId="01BA7A6E" w14:textId="5F02E01D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#5, 5</w:t>
            </w:r>
          </w:p>
        </w:tc>
        <w:tc>
          <w:tcPr>
            <w:tcW w:w="1822" w:type="dxa"/>
          </w:tcPr>
          <w:p w14:paraId="69F785DB" w14:textId="4E38D764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553AC" w:rsidRPr="00AB20C0" w14:paraId="64BCF4A0" w14:textId="77777777" w:rsidTr="00873B8D">
        <w:trPr>
          <w:jc w:val="center"/>
        </w:trPr>
        <w:tc>
          <w:tcPr>
            <w:tcW w:w="1440" w:type="dxa"/>
          </w:tcPr>
          <w:p w14:paraId="5B40FE16" w14:textId="104B7E95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79D7F600" w14:textId="77777777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TFS18833 – eCL site field size expansion</w:t>
            </w:r>
          </w:p>
          <w:p w14:paraId="67606A1B" w14:textId="470EE47C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22434E" w:rsidRPr="0022434E">
              <w:rPr>
                <w:sz w:val="20"/>
              </w:rPr>
              <w:t>1.1 12, 1.2 12, 1.3 12, 1.4 12, 1.5 13</w:t>
            </w:r>
          </w:p>
        </w:tc>
        <w:tc>
          <w:tcPr>
            <w:tcW w:w="1822" w:type="dxa"/>
          </w:tcPr>
          <w:p w14:paraId="78D37F06" w14:textId="577E28BD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43AF1" w:rsidRPr="00AB20C0" w14:paraId="5B57B0F8" w14:textId="77777777" w:rsidTr="00873B8D">
        <w:trPr>
          <w:jc w:val="center"/>
        </w:trPr>
        <w:tc>
          <w:tcPr>
            <w:tcW w:w="1440" w:type="dxa"/>
          </w:tcPr>
          <w:p w14:paraId="5721D92A" w14:textId="72CFB81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10/19/2021</w:t>
            </w:r>
          </w:p>
        </w:tc>
        <w:tc>
          <w:tcPr>
            <w:tcW w:w="6152" w:type="dxa"/>
          </w:tcPr>
          <w:p w14:paraId="10F56CC8" w14:textId="77777777" w:rsidR="00643AF1" w:rsidRDefault="00643AF1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TFS23048 -eCL </w:t>
            </w:r>
            <w:r w:rsidRPr="00EC0580">
              <w:rPr>
                <w:sz w:val="20"/>
              </w:rPr>
              <w:t xml:space="preserve">new feed request for Written </w:t>
            </w:r>
            <w:proofErr w:type="spellStart"/>
            <w:r w:rsidRPr="00EC0580">
              <w:rPr>
                <w:sz w:val="20"/>
              </w:rPr>
              <w:t>Corr</w:t>
            </w:r>
            <w:proofErr w:type="spellEnd"/>
            <w:r w:rsidRPr="00EC0580">
              <w:rPr>
                <w:sz w:val="20"/>
              </w:rPr>
              <w:t xml:space="preserve"> process</w:t>
            </w:r>
          </w:p>
          <w:p w14:paraId="4894F65A" w14:textId="4E0C6A56" w:rsidR="00007B59" w:rsidRDefault="00CB1726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007B59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="00007B5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#2, 4, 5, 7, 9, </w:t>
            </w:r>
            <w:r w:rsidR="00436CFB">
              <w:rPr>
                <w:sz w:val="20"/>
              </w:rPr>
              <w:t xml:space="preserve">10, </w:t>
            </w:r>
            <w:bookmarkStart w:id="1" w:name="_GoBack"/>
            <w:bookmarkEnd w:id="1"/>
            <w:r>
              <w:rPr>
                <w:sz w:val="20"/>
              </w:rPr>
              <w:t>13 and 14</w:t>
            </w:r>
          </w:p>
        </w:tc>
        <w:tc>
          <w:tcPr>
            <w:tcW w:w="1822" w:type="dxa"/>
          </w:tcPr>
          <w:p w14:paraId="15BBA939" w14:textId="2948960D" w:rsidR="00643AF1" w:rsidRDefault="00643AF1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4787F240" w:rsidR="008C3C45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F66B05E" w:rsidR="006D608E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C2AF163" w:rsidR="006D608E" w:rsidRPr="00AB20C0" w:rsidRDefault="00D553AC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0937F8E8" w:rsidR="00CC2DBA" w:rsidRPr="00CB1726" w:rsidRDefault="00CC2DBA" w:rsidP="00C30FC6">
      <w:pPr>
        <w:pStyle w:val="Heading2"/>
        <w:spacing w:before="0" w:after="0"/>
        <w:rPr>
          <w:b w:val="0"/>
          <w:szCs w:val="24"/>
        </w:rPr>
      </w:pPr>
      <w:r w:rsidRPr="00CB1726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 w:rsidR="006076FF" w:rsidRPr="00CB1726">
        <w:rPr>
          <w:b w:val="0"/>
          <w:szCs w:val="24"/>
        </w:rPr>
        <w:t xml:space="preserve">OMR BRL (Exceed break length), </w:t>
      </w:r>
      <w:r w:rsidRPr="00CB1726">
        <w:rPr>
          <w:b w:val="0"/>
          <w:szCs w:val="24"/>
        </w:rPr>
        <w:t xml:space="preserve">BRN (Exceed number of breaks), </w:t>
      </w:r>
      <w:r w:rsidR="005052F0" w:rsidRPr="00CB1726">
        <w:rPr>
          <w:b w:val="0"/>
          <w:szCs w:val="24"/>
        </w:rPr>
        <w:t xml:space="preserve">IDD (Incentives Data Discrepancy), </w:t>
      </w:r>
      <w:r w:rsidRPr="00CB1726">
        <w:rPr>
          <w:b w:val="0"/>
          <w:szCs w:val="24"/>
        </w:rPr>
        <w:t>MSR (Monthly Scorecard Review), MSRS (Monthly Scorecard Review – Supervisor)</w:t>
      </w:r>
      <w:r w:rsidR="00CB1726" w:rsidRPr="00CB1726">
        <w:rPr>
          <w:b w:val="0"/>
          <w:szCs w:val="24"/>
        </w:rPr>
        <w:t xml:space="preserve">, </w:t>
      </w:r>
      <w:r w:rsidR="006076FF" w:rsidRPr="00CB1726">
        <w:rPr>
          <w:b w:val="0"/>
          <w:szCs w:val="24"/>
        </w:rPr>
        <w:t>PBH (Potential Hardship)</w:t>
      </w:r>
      <w:r w:rsidR="00CB1726" w:rsidRPr="00CB1726">
        <w:rPr>
          <w:b w:val="0"/>
          <w:szCs w:val="24"/>
        </w:rPr>
        <w:t xml:space="preserve">, </w:t>
      </w:r>
      <w:r w:rsidR="00CB1726" w:rsidRPr="00CB1726">
        <w:rPr>
          <w:b w:val="0"/>
          <w:szCs w:val="24"/>
        </w:rPr>
        <w:t>WCP (Written Correspondence Project) data file.</w:t>
      </w:r>
      <w:r w:rsidR="00CB1726">
        <w:rPr>
          <w:b w:val="0"/>
          <w:szCs w:val="24"/>
        </w:rPr>
        <w:t xml:space="preserve">  </w:t>
      </w:r>
      <w:r w:rsidR="00076815" w:rsidRPr="00CB1726">
        <w:rPr>
          <w:b w:val="0"/>
          <w:szCs w:val="24"/>
        </w:rPr>
        <w:t xml:space="preserve">Note, the status of evaluations is </w:t>
      </w:r>
      <w:proofErr w:type="spellStart"/>
      <w:r w:rsidR="00076815" w:rsidRPr="00CB1726">
        <w:rPr>
          <w:b w:val="0"/>
          <w:szCs w:val="24"/>
        </w:rPr>
        <w:t>dependant</w:t>
      </w:r>
      <w:proofErr w:type="spellEnd"/>
      <w:r w:rsidR="00076815" w:rsidRPr="00CB1726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65873A9E" w:rsidR="004375DE" w:rsidRPr="00AB20C0" w:rsidRDefault="00CC2DBA" w:rsidP="004375D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 w:rsidR="005052F0">
              <w:rPr>
                <w:sz w:val="22"/>
                <w:szCs w:val="22"/>
              </w:rPr>
              <w:t xml:space="preserve">IDD, </w:t>
            </w:r>
            <w:r>
              <w:rPr>
                <w:sz w:val="22"/>
                <w:szCs w:val="22"/>
              </w:rPr>
              <w:t>MSR, MSRS</w:t>
            </w:r>
            <w:r w:rsidR="006076FF">
              <w:rPr>
                <w:sz w:val="22"/>
                <w:szCs w:val="22"/>
              </w:rPr>
              <w:t>, PBH</w:t>
            </w:r>
            <w:r w:rsidR="004375DE">
              <w:rPr>
                <w:sz w:val="22"/>
                <w:szCs w:val="22"/>
              </w:rPr>
              <w:t>, WCP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Pr="004375DE" w:rsidRDefault="006076FF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BRN</w:t>
            </w:r>
            <w:r w:rsidR="0001354E" w:rsidRPr="004375DE">
              <w:rPr>
                <w:sz w:val="22"/>
                <w:szCs w:val="22"/>
              </w:rPr>
              <w:t xml:space="preserve"> – </w:t>
            </w:r>
            <w:r w:rsidR="00CC2DBA" w:rsidRPr="004375DE">
              <w:rPr>
                <w:sz w:val="22"/>
                <w:szCs w:val="22"/>
              </w:rPr>
              <w:t>Exceed number of breaks</w:t>
            </w:r>
          </w:p>
          <w:p w14:paraId="32FAFAEB" w14:textId="11FC7688" w:rsidR="005052F0" w:rsidRPr="004375DE" w:rsidRDefault="005052F0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IDD – </w:t>
            </w:r>
            <w:r w:rsidR="00007B2C" w:rsidRPr="004375DE">
              <w:rPr>
                <w:sz w:val="22"/>
                <w:szCs w:val="22"/>
              </w:rPr>
              <w:t>Internal PRM-O (Incentives Team)</w:t>
            </w:r>
          </w:p>
          <w:p w14:paraId="1AF15BCB" w14:textId="5DEF0168" w:rsidR="0001354E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Pr="004375DE" w:rsidRDefault="00DE2CC7" w:rsidP="00C76D8E">
            <w:pPr>
              <w:rPr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>MSRS</w:t>
            </w:r>
            <w:r w:rsidR="0001354E" w:rsidRPr="004375DE">
              <w:rPr>
                <w:sz w:val="22"/>
                <w:szCs w:val="22"/>
              </w:rPr>
              <w:t xml:space="preserve"> – Performance Scorecard</w:t>
            </w:r>
          </w:p>
          <w:p w14:paraId="4D9E91C7" w14:textId="77777777" w:rsidR="006076FF" w:rsidRPr="004375DE" w:rsidRDefault="006076FF" w:rsidP="00C76D8E">
            <w:pPr>
              <w:rPr>
                <w:color w:val="000000"/>
                <w:sz w:val="22"/>
                <w:szCs w:val="22"/>
              </w:rPr>
            </w:pPr>
            <w:r w:rsidRPr="004375DE">
              <w:rPr>
                <w:sz w:val="22"/>
                <w:szCs w:val="22"/>
              </w:rPr>
              <w:t xml:space="preserve">PBH – </w:t>
            </w:r>
            <w:r w:rsidRPr="004375DE">
              <w:rPr>
                <w:color w:val="000000"/>
                <w:sz w:val="22"/>
                <w:szCs w:val="22"/>
              </w:rPr>
              <w:t>OMR: Potential Hardship</w:t>
            </w:r>
          </w:p>
          <w:p w14:paraId="2D7D3B12" w14:textId="560DA109" w:rsidR="004375DE" w:rsidRPr="004375DE" w:rsidRDefault="004375DE" w:rsidP="00C76D8E">
            <w:pPr>
              <w:rPr>
                <w:sz w:val="22"/>
                <w:szCs w:val="22"/>
              </w:rPr>
            </w:pPr>
            <w:r w:rsidRPr="004375DE">
              <w:rPr>
                <w:color w:val="000000"/>
                <w:sz w:val="22"/>
                <w:szCs w:val="22"/>
              </w:rPr>
              <w:t>WCP</w:t>
            </w:r>
            <w:r>
              <w:rPr>
                <w:color w:val="000000"/>
                <w:sz w:val="22"/>
                <w:szCs w:val="22"/>
              </w:rPr>
              <w:t xml:space="preserve"> -</w:t>
            </w:r>
            <w:r w:rsidRPr="004375DE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4375DE">
              <w:rPr>
                <w:color w:val="000000"/>
                <w:sz w:val="22"/>
                <w:szCs w:val="22"/>
              </w:rPr>
              <w:t>Internal CCO Reporting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5EE2D581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30E93ED2" w14:textId="77777777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  <w:p w14:paraId="18064322" w14:textId="5E339B88" w:rsidR="004375DE" w:rsidRPr="00AB20C0" w:rsidRDefault="004375D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 Pending Supervisor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037B03C6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214C7E0D" w14:textId="0E8C7844" w:rsidR="004375DE" w:rsidRDefault="004375DE" w:rsidP="00C76D8E">
            <w:pPr>
              <w:rPr>
                <w:sz w:val="22"/>
                <w:szCs w:val="22"/>
              </w:rPr>
            </w:pPr>
          </w:p>
          <w:p w14:paraId="6F242982" w14:textId="25AC9155" w:rsidR="00CC2DBA" w:rsidRPr="00AB20C0" w:rsidRDefault="004375DE" w:rsidP="00437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</w:t>
            </w:r>
            <w:r w:rsidRPr="00887305">
              <w:rPr>
                <w:sz w:val="22"/>
                <w:szCs w:val="22"/>
              </w:rPr>
              <w:t xml:space="preserve"> The date the file is loaded and </w:t>
            </w:r>
            <w:proofErr w:type="spellStart"/>
            <w:r w:rsidRPr="00887305">
              <w:rPr>
                <w:sz w:val="22"/>
                <w:szCs w:val="22"/>
              </w:rPr>
              <w:t>eCLs</w:t>
            </w:r>
            <w:proofErr w:type="spellEnd"/>
            <w:r w:rsidRPr="00887305">
              <w:rPr>
                <w:sz w:val="22"/>
                <w:szCs w:val="22"/>
              </w:rPr>
              <w:t xml:space="preserve"> are sent out. </w:t>
            </w:r>
            <w:r w:rsidR="00CC2DBA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  <w:r w:rsidR="00CC2DBA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4E7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  <w:p w14:paraId="391570D6" w14:textId="1EC6C9CE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</w:t>
            </w:r>
            <w:r w:rsidRPr="00887305">
              <w:rPr>
                <w:sz w:val="22"/>
                <w:szCs w:val="22"/>
              </w:rPr>
              <w:t>CMS WC Leadership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26E98" w14:textId="77777777" w:rsidR="00CC2DBA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  <w:p w14:paraId="52B182EB" w14:textId="7BC7F359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WCP--</w:t>
            </w:r>
            <w:r w:rsidRPr="00887305">
              <w:rPr>
                <w:sz w:val="22"/>
                <w:szCs w:val="22"/>
              </w:rPr>
              <w:t xml:space="preserve"> </w:t>
            </w:r>
            <w:r w:rsidRPr="00887305">
              <w:rPr>
                <w:sz w:val="22"/>
                <w:szCs w:val="22"/>
              </w:rPr>
              <w:t>CMS WC Leadership@maximus.com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16C643D7" w:rsidR="00CC2DBA" w:rsidRPr="00AB20C0" w:rsidRDefault="00D553AC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7800C0C2" w14:textId="77777777" w:rsidR="002B19F5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  <w:p w14:paraId="1E56BDDC" w14:textId="7BE332E9" w:rsidR="00CB1726" w:rsidRPr="00AB20C0" w:rsidRDefault="00CB1726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WCP -- Opportunity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3B3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  <w:p w14:paraId="3368C99A" w14:textId="1CFB38DF" w:rsidR="00CB1726" w:rsidRPr="00AB20C0" w:rsidRDefault="00CB1726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WCP - </w:t>
            </w:r>
            <w:r w:rsidRPr="00CB1726">
              <w:rPr>
                <w:sz w:val="22"/>
                <w:szCs w:val="22"/>
              </w:rPr>
              <w:t xml:space="preserve">UCID will be </w:t>
            </w:r>
            <w:r>
              <w:rPr>
                <w:sz w:val="22"/>
                <w:szCs w:val="22"/>
              </w:rPr>
              <w:t xml:space="preserve">included </w:t>
            </w:r>
            <w:r w:rsidRPr="00CB1726">
              <w:rPr>
                <w:sz w:val="22"/>
                <w:szCs w:val="22"/>
              </w:rPr>
              <w:t>in static text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8827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1987"/>
        <w:gridCol w:w="1800"/>
        <w:gridCol w:w="3787"/>
      </w:tblGrid>
      <w:tr w:rsidR="00C76D8E" w:rsidRPr="00AB20C0" w14:paraId="2A839C3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430556" w:rsidRPr="00AB20C0" w14:paraId="717F27E2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F0EB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430556" w:rsidRPr="00AB20C0" w:rsidRDefault="00430556" w:rsidP="00430556">
            <w:pPr>
              <w:rPr>
                <w:sz w:val="22"/>
                <w:szCs w:val="22"/>
              </w:rPr>
            </w:pPr>
          </w:p>
        </w:tc>
      </w:tr>
      <w:tr w:rsidR="00430556" w:rsidRPr="00AB20C0" w14:paraId="3CC90A4B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265D863C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430556" w:rsidRPr="00AB20C0" w:rsidRDefault="00430556" w:rsidP="004305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430556" w:rsidRPr="00AB20C0" w14:paraId="50B6BA0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529A4F92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430556" w:rsidRPr="00AB20C0" w14:paraId="01E72FEE" w14:textId="77777777" w:rsidTr="00D5774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430556" w:rsidRPr="00AB20C0" w:rsidRDefault="00430556" w:rsidP="00430556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430556" w:rsidRPr="00AB20C0" w:rsidRDefault="00430556" w:rsidP="0043055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58A94DFA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430556" w:rsidRPr="00AB20C0" w:rsidRDefault="00430556" w:rsidP="0043055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62A206F2" w:rsidR="00C76D8E" w:rsidRDefault="00C76D8E" w:rsidP="004D42E2">
      <w:pPr>
        <w:rPr>
          <w:b/>
          <w:sz w:val="24"/>
          <w:szCs w:val="24"/>
        </w:rPr>
      </w:pPr>
    </w:p>
    <w:p w14:paraId="7CF15A49" w14:textId="5221A3B2" w:rsidR="00887305" w:rsidRDefault="00887305" w:rsidP="004D42E2">
      <w:pPr>
        <w:rPr>
          <w:b/>
          <w:sz w:val="24"/>
          <w:szCs w:val="24"/>
        </w:rPr>
      </w:pPr>
    </w:p>
    <w:p w14:paraId="6F91C332" w14:textId="45FA45B5" w:rsidR="00887305" w:rsidRDefault="00887305" w:rsidP="004D42E2">
      <w:pPr>
        <w:rPr>
          <w:b/>
          <w:sz w:val="24"/>
          <w:szCs w:val="24"/>
        </w:rPr>
      </w:pPr>
    </w:p>
    <w:p w14:paraId="2D510400" w14:textId="18134646" w:rsidR="00887305" w:rsidRDefault="00887305" w:rsidP="004D42E2">
      <w:pPr>
        <w:rPr>
          <w:b/>
          <w:sz w:val="24"/>
          <w:szCs w:val="24"/>
        </w:rPr>
      </w:pPr>
    </w:p>
    <w:p w14:paraId="367BAFD7" w14:textId="42159EBA" w:rsidR="00887305" w:rsidRDefault="00887305" w:rsidP="004D42E2">
      <w:pPr>
        <w:rPr>
          <w:b/>
          <w:sz w:val="24"/>
          <w:szCs w:val="24"/>
        </w:rPr>
      </w:pPr>
    </w:p>
    <w:p w14:paraId="52771452" w14:textId="3D5363F5" w:rsidR="00887305" w:rsidRDefault="00887305" w:rsidP="004D42E2">
      <w:pPr>
        <w:rPr>
          <w:b/>
          <w:sz w:val="24"/>
          <w:szCs w:val="24"/>
        </w:rPr>
      </w:pPr>
    </w:p>
    <w:sectPr w:rsidR="00887305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D745C" w14:textId="77777777" w:rsidR="00526DB1" w:rsidRDefault="00526DB1">
      <w:r>
        <w:separator/>
      </w:r>
    </w:p>
  </w:endnote>
  <w:endnote w:type="continuationSeparator" w:id="0">
    <w:p w14:paraId="5DB07E16" w14:textId="77777777" w:rsidR="00526DB1" w:rsidRDefault="0052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4375DE" w:rsidRDefault="004375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4375DE" w:rsidRDefault="004375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4375DE" w:rsidRDefault="004375D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E3201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23822CB3" w:rsidR="004375DE" w:rsidRDefault="004375D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4375DE" w:rsidRDefault="004375D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4375DE" w:rsidRPr="002D1775" w:rsidRDefault="004375D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4375DE" w:rsidRDefault="004375D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D1E97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C62B1" w14:textId="77777777" w:rsidR="00526DB1" w:rsidRDefault="00526DB1">
      <w:r>
        <w:separator/>
      </w:r>
    </w:p>
  </w:footnote>
  <w:footnote w:type="continuationSeparator" w:id="0">
    <w:p w14:paraId="4BBF8111" w14:textId="77777777" w:rsidR="00526DB1" w:rsidRDefault="00526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4375DE" w:rsidRDefault="004375D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BF3DE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4375DE" w:rsidRDefault="004375DE">
    <w:pPr>
      <w:pStyle w:val="Header"/>
    </w:pPr>
  </w:p>
  <w:p w14:paraId="4A91EA2A" w14:textId="77777777" w:rsidR="004375DE" w:rsidRDefault="004375D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4375DE" w:rsidRDefault="004375D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ED061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2E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2"/>
  </w:num>
  <w:num w:numId="5">
    <w:abstractNumId w:val="13"/>
  </w:num>
  <w:num w:numId="6">
    <w:abstractNumId w:val="0"/>
  </w:num>
  <w:num w:numId="7">
    <w:abstractNumId w:val="16"/>
  </w:num>
  <w:num w:numId="8">
    <w:abstractNumId w:val="15"/>
  </w:num>
  <w:num w:numId="9">
    <w:abstractNumId w:val="2"/>
  </w:num>
  <w:num w:numId="10">
    <w:abstractNumId w:val="14"/>
  </w:num>
  <w:num w:numId="11">
    <w:abstractNumId w:val="9"/>
  </w:num>
  <w:num w:numId="12">
    <w:abstractNumId w:val="10"/>
  </w:num>
  <w:num w:numId="13">
    <w:abstractNumId w:val="7"/>
  </w:num>
  <w:num w:numId="14">
    <w:abstractNumId w:val="4"/>
  </w:num>
  <w:num w:numId="15">
    <w:abstractNumId w:val="11"/>
  </w:num>
  <w:num w:numId="16">
    <w:abstractNumId w:val="6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07B2C"/>
    <w:rsid w:val="00007B59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57219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2766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4BDF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434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48E7"/>
    <w:rsid w:val="00296932"/>
    <w:rsid w:val="002A24A1"/>
    <w:rsid w:val="002A663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6BBB"/>
    <w:rsid w:val="003F7B07"/>
    <w:rsid w:val="004012C1"/>
    <w:rsid w:val="004017E4"/>
    <w:rsid w:val="00412BAD"/>
    <w:rsid w:val="004244E4"/>
    <w:rsid w:val="00430556"/>
    <w:rsid w:val="0043579B"/>
    <w:rsid w:val="00436CFB"/>
    <w:rsid w:val="00437000"/>
    <w:rsid w:val="004375DE"/>
    <w:rsid w:val="00441F62"/>
    <w:rsid w:val="0044271E"/>
    <w:rsid w:val="00443FF1"/>
    <w:rsid w:val="004505EB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2636B"/>
    <w:rsid w:val="00526DB1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3AF1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3526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D57DD"/>
    <w:rsid w:val="007E04C3"/>
    <w:rsid w:val="007E247A"/>
    <w:rsid w:val="007E249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671D5"/>
    <w:rsid w:val="008700DB"/>
    <w:rsid w:val="008735AE"/>
    <w:rsid w:val="00873B8D"/>
    <w:rsid w:val="00877C6D"/>
    <w:rsid w:val="00881229"/>
    <w:rsid w:val="00884A70"/>
    <w:rsid w:val="00887305"/>
    <w:rsid w:val="008945AE"/>
    <w:rsid w:val="008B1812"/>
    <w:rsid w:val="008B23FC"/>
    <w:rsid w:val="008B2C02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1F56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972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1726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553AC"/>
    <w:rsid w:val="00D57741"/>
    <w:rsid w:val="00D60805"/>
    <w:rsid w:val="00D60AF3"/>
    <w:rsid w:val="00D615EE"/>
    <w:rsid w:val="00D624CB"/>
    <w:rsid w:val="00D65576"/>
    <w:rsid w:val="00D678CA"/>
    <w:rsid w:val="00D67D27"/>
    <w:rsid w:val="00D71A8C"/>
    <w:rsid w:val="00D72F0B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0D0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91E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77AF1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D782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2006ED-E9D3-4946-A2D7-EFD0FAD3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</Template>
  <TotalTime>412</TotalTime>
  <Pages>11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14042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77</cp:revision>
  <cp:lastPrinted>2014-01-22T15:35:00Z</cp:lastPrinted>
  <dcterms:created xsi:type="dcterms:W3CDTF">2014-01-22T21:07:00Z</dcterms:created>
  <dcterms:modified xsi:type="dcterms:W3CDTF">2021-10-21T13:56:00Z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