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128A3970" w:rsidR="00407572" w:rsidRDefault="00407572" w:rsidP="00BF37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2904">
              <w:rPr>
                <w:b/>
              </w:rPr>
              <w:t xml:space="preserve">TFS </w:t>
            </w:r>
            <w:r w:rsidR="00BF373F">
              <w:rPr>
                <w:b/>
              </w:rPr>
              <w:t>3878 – Email CSR comments to supervisor/manager when CSR logs are completed</w:t>
            </w:r>
            <w:r w:rsidRPr="003E2904"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4F640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4F640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4F640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3044892" w:rsidR="00AC0966" w:rsidRPr="00DC0C42" w:rsidRDefault="004C6D5F" w:rsidP="00A358D7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A358D7">
              <w:t>3878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4FA465C8" w:rsidR="005E0638" w:rsidRPr="00D854F0" w:rsidRDefault="00DF2171" w:rsidP="00B71CB9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B71CB9">
              <w:t>3878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925D447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 w:rsidRPr="00192763">
              <w:rPr>
                <w:b/>
              </w:rPr>
              <w:t>C</w:t>
            </w:r>
            <w:r w:rsidR="00D42967">
              <w:rPr>
                <w:b/>
              </w:rPr>
              <w:t>3</w:t>
            </w:r>
            <w:r w:rsidR="002C5DD6">
              <w:rPr>
                <w:b/>
              </w:rPr>
              <w:t>6194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55B7A" w14:textId="77777777" w:rsidR="004F6406" w:rsidRDefault="004F6406">
      <w:r>
        <w:separator/>
      </w:r>
    </w:p>
  </w:endnote>
  <w:endnote w:type="continuationSeparator" w:id="0">
    <w:p w14:paraId="22E7280A" w14:textId="77777777" w:rsidR="004F6406" w:rsidRDefault="004F6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C5DD6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C5DD6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24836" w14:textId="77777777" w:rsidR="004F6406" w:rsidRDefault="004F6406">
      <w:r>
        <w:separator/>
      </w:r>
    </w:p>
  </w:footnote>
  <w:footnote w:type="continuationSeparator" w:id="0">
    <w:p w14:paraId="48087122" w14:textId="77777777" w:rsidR="004F6406" w:rsidRDefault="004F6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C3B1B3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2AA8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4C5"/>
    <w:rsid w:val="00B43D70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BDF9D3C-D6A4-45B5-B15F-31DB3EDA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5878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205</cp:revision>
  <cp:lastPrinted>2004-07-28T18:48:00Z</cp:lastPrinted>
  <dcterms:created xsi:type="dcterms:W3CDTF">2015-04-16T15:04:00Z</dcterms:created>
  <dcterms:modified xsi:type="dcterms:W3CDTF">2016-12-06T21:36:00Z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