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D675F09" w14:textId="77777777" w:rsidR="00656FA2" w:rsidRPr="003E2904" w:rsidRDefault="00BB798A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4102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 w:rsidR="007F025B">
              <w:rPr>
                <w:b/>
              </w:rPr>
              <w:t xml:space="preserve"> </w:t>
            </w:r>
            <w:r w:rsidRPr="003E2904">
              <w:t>Include Yes/No value to coaching monitor question</w:t>
            </w:r>
            <w:r w:rsidR="00503CBA" w:rsidRPr="003E2904">
              <w:t>.</w:t>
            </w:r>
          </w:p>
          <w:p w14:paraId="45A68182" w14:textId="348EE17C" w:rsidR="00B51D5E" w:rsidRPr="003E2904" w:rsidRDefault="00B51D5E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904">
              <w:rPr>
                <w:b/>
              </w:rPr>
              <w:t xml:space="preserve">TFS 3622 – </w:t>
            </w:r>
            <w:r w:rsidRPr="003E2904">
              <w:t xml:space="preserve">“My Dashboard” over 100 </w:t>
            </w:r>
            <w:proofErr w:type="spellStart"/>
            <w:r w:rsidRPr="003E2904">
              <w:t>db</w:t>
            </w:r>
            <w:proofErr w:type="spellEnd"/>
            <w:r w:rsidRPr="003E2904">
              <w:t xml:space="preserve"> connections within 1 </w:t>
            </w:r>
            <w:proofErr w:type="spellStart"/>
            <w:r w:rsidRPr="003E2904">
              <w:t>db</w:t>
            </w:r>
            <w:proofErr w:type="spellEnd"/>
            <w:r w:rsidRPr="003E2904">
              <w:t xml:space="preserve"> session</w:t>
            </w:r>
            <w:r w:rsidR="003E2904">
              <w:t>.</w:t>
            </w:r>
          </w:p>
          <w:p w14:paraId="5F1B624F" w14:textId="62979838" w:rsidR="00407572" w:rsidRDefault="00407572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904">
              <w:rPr>
                <w:b/>
              </w:rPr>
              <w:t xml:space="preserve">TFS 4743 – </w:t>
            </w:r>
            <w:r w:rsidRPr="003E2904">
              <w:t>Survey: Don’t set default values to all questions.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4D2C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4D2C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4D2C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13402D9" w:rsidR="00AC0966" w:rsidRPr="00DC0C42" w:rsidRDefault="004C6D5F" w:rsidP="00CB24E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B24EC">
              <w:t>4102</w:t>
            </w:r>
            <w:r w:rsidR="00A824E4">
              <w:t xml:space="preserve"> and 3622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8D0A038" w:rsidR="005E0638" w:rsidRPr="00D854F0" w:rsidRDefault="00DF2171" w:rsidP="00C67654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832E0">
              <w:t>4102</w:t>
            </w:r>
            <w:r w:rsidR="00C67654">
              <w:t xml:space="preserve">, </w:t>
            </w:r>
            <w:r w:rsidR="00A824E4">
              <w:t>3622</w:t>
            </w:r>
            <w:r w:rsidR="00C67654">
              <w:t>, and 4743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E878EB9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D42967">
              <w:rPr>
                <w:b/>
              </w:rPr>
              <w:t>35</w:t>
            </w:r>
            <w:r w:rsidR="00A824E4">
              <w:rPr>
                <w:b/>
              </w:rPr>
              <w:t>9</w:t>
            </w:r>
            <w:r w:rsidR="00C67654">
              <w:rPr>
                <w:b/>
              </w:rPr>
              <w:t>71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341C8" w14:textId="77777777" w:rsidR="004D2CAE" w:rsidRDefault="004D2CAE">
      <w:r>
        <w:separator/>
      </w:r>
    </w:p>
  </w:endnote>
  <w:endnote w:type="continuationSeparator" w:id="0">
    <w:p w14:paraId="5B77FE06" w14:textId="77777777" w:rsidR="004D2CAE" w:rsidRDefault="004D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67654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67654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4CD45" w14:textId="77777777" w:rsidR="004D2CAE" w:rsidRDefault="004D2CAE">
      <w:r>
        <w:separator/>
      </w:r>
    </w:p>
  </w:footnote>
  <w:footnote w:type="continuationSeparator" w:id="0">
    <w:p w14:paraId="61990232" w14:textId="77777777" w:rsidR="004D2CAE" w:rsidRDefault="004D2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F96EF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1D5E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020304-E804-4298-988C-ED863841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5909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200</cp:revision>
  <cp:lastPrinted>2004-07-28T18:48:00Z</cp:lastPrinted>
  <dcterms:created xsi:type="dcterms:W3CDTF">2015-04-16T15:04:00Z</dcterms:created>
  <dcterms:modified xsi:type="dcterms:W3CDTF">2016-11-17T14:43:00Z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