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B23833" w:rsidP="0067651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1/</w:t>
            </w:r>
            <w:r w:rsidR="0067651B">
              <w:rPr>
                <w:rFonts w:ascii="Times New Roman (PCL6)" w:hAnsi="Times New Roman (PCL6)"/>
              </w:rPr>
              <w:t>14/2020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67651B" w:rsidP="00B23833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bookmarkStart w:id="2" w:name="_GoBack"/>
      <w:bookmarkEnd w:id="2"/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B23833" w:rsidRDefault="0067651B" w:rsidP="00763ADA">
      <w:pPr>
        <w:pStyle w:val="NoSpacing"/>
      </w:pPr>
      <w:r w:rsidRPr="0067651B">
        <w:rPr>
          <w:highlight w:val="yellow"/>
        </w:rPr>
        <w:t>TFS 16389 - Historical dashboard access to job code WPSM%</w:t>
      </w:r>
    </w:p>
    <w:p w:rsidR="0067651B" w:rsidRDefault="0067651B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B6785E" w:rsidRDefault="0067651B" w:rsidP="00B6785E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  <w:highlight w:val="green"/>
        </w:rPr>
        <w:t>1 function</w:t>
      </w:r>
    </w:p>
    <w:p w:rsidR="0067651B" w:rsidRDefault="0067651B" w:rsidP="00B6785E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67651B">
        <w:rPr>
          <w:rFonts w:ascii="Times New Roman (PCL6)" w:hAnsi="Times New Roman (PCL6)"/>
          <w:highlight w:val="green"/>
        </w:rPr>
        <w:t>1 run once</w:t>
      </w:r>
    </w:p>
    <w:p w:rsidR="00F549DE" w:rsidRDefault="00F549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FD571F" w:rsidRPr="00FD571F" w:rsidRDefault="00FD571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1E286A" w:rsidRDefault="001E286A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lastRenderedPageBreak/>
        <w:t>Remin</w:t>
      </w:r>
      <w:r w:rsidR="00D630B0" w:rsidRPr="001E286A">
        <w:rPr>
          <w:rFonts w:ascii="Times New Roman" w:hAnsi="Times New Roman"/>
          <w:sz w:val="20"/>
          <w:szCs w:val="20"/>
        </w:rPr>
        <w:t>ders_Prod.vbs</w:t>
      </w:r>
      <w:r w:rsidR="00D630B0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Notifications_</w:t>
      </w:r>
      <w:r w:rsidR="00F12F2E" w:rsidRPr="00FA5C37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B23833" w:rsidRDefault="0067651B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lastRenderedPageBreak/>
        <w:t xml:space="preserve">No </w:t>
      </w:r>
      <w:r w:rsidR="005554D5" w:rsidRPr="0067651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67651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lastRenderedPageBreak/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7651B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67651B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  <w:highlight w:val="green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B6785E" w:rsidRDefault="00B6785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7651B">
        <w:rPr>
          <w:rFonts w:ascii="Times New Roman" w:hAnsi="Times New Roman"/>
          <w:b/>
          <w:sz w:val="20"/>
          <w:szCs w:val="20"/>
          <w:highlight w:val="yellow"/>
        </w:rPr>
        <w:t>Run Once: \cms\eCoaching_V2\Runbook\DB\</w:t>
      </w:r>
      <w:proofErr w:type="spellStart"/>
      <w:r w:rsidRPr="0067651B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F549DE" w:rsidRDefault="0067651B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7651B">
        <w:rPr>
          <w:rFonts w:ascii="Times New Roman" w:hAnsi="Times New Roman"/>
          <w:b/>
          <w:sz w:val="20"/>
          <w:szCs w:val="20"/>
          <w:highlight w:val="green"/>
        </w:rPr>
        <w:t>CCO_eCoaching_Log_DB_RunOnce_TFS_16389 _WPSM%.txt</w:t>
      </w:r>
    </w:p>
    <w:p w:rsidR="00FD571F" w:rsidRDefault="00FD571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D57" w:rsidRDefault="00DD4D57" w:rsidP="009F2A51">
      <w:pPr>
        <w:spacing w:after="0" w:line="240" w:lineRule="auto"/>
      </w:pPr>
      <w:r>
        <w:separator/>
      </w:r>
    </w:p>
  </w:endnote>
  <w:endnote w:type="continuationSeparator" w:id="0">
    <w:p w:rsidR="00DD4D57" w:rsidRDefault="00DD4D57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833" w:rsidRPr="00872F59" w:rsidRDefault="00B23833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B23833" w:rsidRPr="00872F59" w:rsidRDefault="00B23833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B23833" w:rsidRPr="00872F59" w:rsidRDefault="00B23833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B23833" w:rsidRPr="0046768F" w:rsidRDefault="00B23833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67651B">
      <w:rPr>
        <w:noProof/>
      </w:rPr>
      <w:t>1/14/2020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67651B">
      <w:rPr>
        <w:noProof/>
      </w:rPr>
      <w:t>19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67651B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D57" w:rsidRDefault="00DD4D57" w:rsidP="009F2A51">
      <w:pPr>
        <w:spacing w:after="0" w:line="240" w:lineRule="auto"/>
      </w:pPr>
      <w:r>
        <w:separator/>
      </w:r>
    </w:p>
  </w:footnote>
  <w:footnote w:type="continuationSeparator" w:id="0">
    <w:p w:rsidR="00DD4D57" w:rsidRDefault="00DD4D57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833" w:rsidRDefault="00B23833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23833" w:rsidRPr="00A83AA2" w:rsidRDefault="00B23833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45AFF-04A1-4488-8EDD-9557C2FDD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22</Pages>
  <Words>4798</Words>
  <Characters>27355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32089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122</cp:revision>
  <dcterms:created xsi:type="dcterms:W3CDTF">2018-06-30T18:25:00Z</dcterms:created>
  <dcterms:modified xsi:type="dcterms:W3CDTF">2020-01-14T14:11:00Z</dcterms:modified>
</cp:coreProperties>
</file>