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1D7BCB39" w:rsidR="008171EB" w:rsidRPr="00396952" w:rsidRDefault="00942ACB" w:rsidP="003A7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TFS </w:t>
            </w:r>
            <w:r w:rsidR="003A7B39">
              <w:rPr>
                <w:b/>
              </w:rPr>
              <w:t>14441</w:t>
            </w:r>
            <w:r>
              <w:rPr>
                <w:b/>
              </w:rPr>
              <w:t xml:space="preserve"> </w:t>
            </w:r>
            <w:r w:rsidR="000C771F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3A7B39">
              <w:rPr>
                <w:b/>
              </w:rPr>
              <w:t>Review Page: MSR logs display static text based on sources</w:t>
            </w:r>
            <w:r w:rsidR="000C771F">
              <w:rPr>
                <w:b/>
              </w:rPr>
              <w:t>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8902F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8902F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8902F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 xml:space="preserve">oaching entry field appear for supervisor when in pending </w:t>
            </w:r>
            <w:r w:rsidRPr="007E049F">
              <w:lastRenderedPageBreak/>
              <w:t>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6C62B9A0" w:rsidR="00AC0966" w:rsidRPr="00DC0C42" w:rsidRDefault="004C6D5F" w:rsidP="003C342A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3C342A">
              <w:t>14441</w:t>
            </w:r>
            <w:r w:rsidR="005579C3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25DC961E" w:rsidR="00650DA6" w:rsidRPr="00A449D5" w:rsidRDefault="00650DA6" w:rsidP="00056AF9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398A14B" w:rsidR="009908CA" w:rsidRDefault="009908CA" w:rsidP="0028673C">
            <w:pPr>
              <w:pStyle w:val="SOPBodyText"/>
            </w:pPr>
            <w:r>
              <w:t xml:space="preserve">Get the following </w:t>
            </w:r>
            <w:r w:rsidR="00B5377A">
              <w:t xml:space="preserve">two </w:t>
            </w:r>
            <w:r>
              <w:t>file</w:t>
            </w:r>
            <w:r w:rsidR="00B5377A">
              <w:t>s</w:t>
            </w:r>
            <w:r>
              <w:t xml:space="preserve">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1A78019F" w:rsidR="00A13A5A" w:rsidRPr="002D64BE" w:rsidRDefault="00791551" w:rsidP="00BF76B5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 w:rsidRPr="001B2168">
              <w:rPr>
                <w:b/>
              </w:rPr>
              <w:t>eCoaching.zip</w:t>
            </w:r>
            <w:r w:rsidR="00592931">
              <w:t xml:space="preserve"> </w:t>
            </w:r>
            <w:r w:rsidR="00A13A5A">
              <w:t xml:space="preserve">- </w:t>
            </w:r>
            <w:r w:rsidR="00A13A5A" w:rsidRPr="00040749">
              <w:rPr>
                <w:b/>
              </w:rPr>
              <w:t xml:space="preserve">Changeset </w:t>
            </w:r>
            <w:r w:rsidR="00BF76B5">
              <w:rPr>
                <w:b/>
              </w:rPr>
              <w:t>42377.</w:t>
            </w:r>
            <w:bookmarkStart w:id="2" w:name="_GoBack"/>
            <w:bookmarkEnd w:id="2"/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73829BFA" w:rsidR="00534CF7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62BC1930" w14:textId="46A368F1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</w:t>
            </w:r>
            <w:r w:rsidR="00221C02">
              <w:rPr>
                <w:b/>
              </w:rPr>
              <w:t>Sites</w:t>
            </w:r>
            <w:r w:rsidRPr="004C70A9">
              <w:rPr>
                <w:b/>
              </w:rPr>
              <w:t>\</w:t>
            </w:r>
            <w:r w:rsidR="00654FE8" w:rsidRPr="004C70A9">
              <w:rPr>
                <w:b/>
              </w:rPr>
              <w:t>eCoachingLog</w:t>
            </w:r>
            <w:r>
              <w:t>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38D36E89" w:rsidR="0007143C" w:rsidRPr="00C85F4D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6DB9FBAF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8B29DC">
              <w:t>.</w:t>
            </w:r>
          </w:p>
          <w:p w14:paraId="1D588232" w14:textId="48EA4A62" w:rsidR="002F206D" w:rsidRDefault="002F206D" w:rsidP="002F206D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  <w:p w14:paraId="029BA1AD" w14:textId="7D952042" w:rsidR="00E2605B" w:rsidRDefault="00E2605B" w:rsidP="00E2605B">
            <w:pPr>
              <w:pStyle w:val="SOPBodyText"/>
              <w:numPr>
                <w:ilvl w:val="0"/>
                <w:numId w:val="33"/>
              </w:numPr>
              <w:spacing w:before="120"/>
            </w:pPr>
            <w:r w:rsidRPr="00C85F4D">
              <w:t>Delete all files under folder</w:t>
            </w:r>
            <w:r>
              <w:rPr>
                <w:b/>
              </w:rPr>
              <w:t xml:space="preserve"> </w:t>
            </w:r>
            <w:r>
              <w:t>D:\</w:t>
            </w:r>
            <w:r w:rsidR="00CD6021">
              <w:t>sites</w:t>
            </w:r>
            <w:r>
              <w:t xml:space="preserve">\eCoachingLog except for </w:t>
            </w:r>
            <w:r w:rsidRPr="00C85F4D">
              <w:rPr>
                <w:b/>
              </w:rPr>
              <w:t xml:space="preserve">index.html </w:t>
            </w:r>
            <w:r>
              <w:t xml:space="preserve">and </w:t>
            </w:r>
            <w:r w:rsidRPr="00C85F4D">
              <w:rPr>
                <w:b/>
              </w:rPr>
              <w:t>web.config</w:t>
            </w:r>
            <w:r>
              <w:t>.</w:t>
            </w:r>
          </w:p>
          <w:p w14:paraId="0516A47E" w14:textId="320D74F7" w:rsidR="00795597" w:rsidRPr="00601FF7" w:rsidRDefault="00114928" w:rsidP="00010915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 w:rsidRPr="00C06E1C">
              <w:rPr>
                <w:b/>
              </w:rPr>
              <w:t>eCoaching.zip</w:t>
            </w:r>
            <w:r>
              <w:t xml:space="preserve"> to folder </w:t>
            </w:r>
            <w:r w:rsidRPr="006E1C83">
              <w:t>D:\</w:t>
            </w:r>
            <w:r w:rsidR="00010915">
              <w:t>Sites</w:t>
            </w:r>
            <w:r w:rsidRPr="006E1C83">
              <w:t>\eCoachingLog</w:t>
            </w:r>
            <w:r>
              <w:t xml:space="preserve">, </w:t>
            </w:r>
            <w:r>
              <w:rPr>
                <w:b/>
              </w:rPr>
              <w:t xml:space="preserve">do </w:t>
            </w:r>
            <w:r w:rsidR="006E1C83">
              <w:rPr>
                <w:b/>
              </w:rPr>
              <w:t>NOT</w:t>
            </w:r>
            <w:r>
              <w:rPr>
                <w:b/>
              </w:rPr>
              <w:t xml:space="preserve"> overwrite web.config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lastRenderedPageBreak/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126CE" w14:textId="77777777" w:rsidR="008902F5" w:rsidRDefault="008902F5">
      <w:r>
        <w:separator/>
      </w:r>
    </w:p>
  </w:endnote>
  <w:endnote w:type="continuationSeparator" w:id="0">
    <w:p w14:paraId="355F3ED4" w14:textId="77777777" w:rsidR="008902F5" w:rsidRDefault="00890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BF76B5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BF76B5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58659" w14:textId="77777777" w:rsidR="008902F5" w:rsidRDefault="008902F5">
      <w:r>
        <w:separator/>
      </w:r>
    </w:p>
  </w:footnote>
  <w:footnote w:type="continuationSeparator" w:id="0">
    <w:p w14:paraId="766EEA7B" w14:textId="77777777" w:rsidR="008902F5" w:rsidRDefault="008902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E937B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0915"/>
    <w:rsid w:val="0001246E"/>
    <w:rsid w:val="00015BFE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632A"/>
    <w:rsid w:val="00046875"/>
    <w:rsid w:val="0004768B"/>
    <w:rsid w:val="00047810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559A"/>
    <w:rsid w:val="000F2C05"/>
    <w:rsid w:val="001008B0"/>
    <w:rsid w:val="00105FC6"/>
    <w:rsid w:val="001072DB"/>
    <w:rsid w:val="00107BAC"/>
    <w:rsid w:val="001103B8"/>
    <w:rsid w:val="0011492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DC4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32F5"/>
    <w:rsid w:val="003C342A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E6835"/>
    <w:rsid w:val="003E76A8"/>
    <w:rsid w:val="003F04BF"/>
    <w:rsid w:val="004008D9"/>
    <w:rsid w:val="00401BD4"/>
    <w:rsid w:val="004021F0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583A"/>
    <w:rsid w:val="004F5CFA"/>
    <w:rsid w:val="004F6406"/>
    <w:rsid w:val="004F6FFA"/>
    <w:rsid w:val="0050368E"/>
    <w:rsid w:val="00503CBA"/>
    <w:rsid w:val="005057BD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1E1B"/>
    <w:rsid w:val="00552567"/>
    <w:rsid w:val="00555F6A"/>
    <w:rsid w:val="00556E5E"/>
    <w:rsid w:val="00556ED0"/>
    <w:rsid w:val="005579C3"/>
    <w:rsid w:val="005633CF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1FF7"/>
    <w:rsid w:val="006039B9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7A7B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02F5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1541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7AFB"/>
    <w:rsid w:val="00A112EF"/>
    <w:rsid w:val="00A11686"/>
    <w:rsid w:val="00A11F0F"/>
    <w:rsid w:val="00A13A5A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F084D"/>
    <w:rsid w:val="00AF151B"/>
    <w:rsid w:val="00AF3474"/>
    <w:rsid w:val="00AF4C67"/>
    <w:rsid w:val="00B00BE3"/>
    <w:rsid w:val="00B04A07"/>
    <w:rsid w:val="00B06465"/>
    <w:rsid w:val="00B0726A"/>
    <w:rsid w:val="00B16526"/>
    <w:rsid w:val="00B23B37"/>
    <w:rsid w:val="00B275A2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326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25B"/>
    <w:rsid w:val="00BF1CDA"/>
    <w:rsid w:val="00BF21FE"/>
    <w:rsid w:val="00BF373F"/>
    <w:rsid w:val="00BF4718"/>
    <w:rsid w:val="00BF53AA"/>
    <w:rsid w:val="00BF63C0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234E5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522"/>
    <w:rsid w:val="00E55E78"/>
    <w:rsid w:val="00E56ECF"/>
    <w:rsid w:val="00E71D1E"/>
    <w:rsid w:val="00E74F05"/>
    <w:rsid w:val="00E761CB"/>
    <w:rsid w:val="00E766B1"/>
    <w:rsid w:val="00E766F9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294B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FA806DB5-3457-4BAF-A13A-305D50886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4143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472</cp:revision>
  <cp:lastPrinted>2004-07-28T18:48:00Z</cp:lastPrinted>
  <dcterms:created xsi:type="dcterms:W3CDTF">2015-04-16T15:04:00Z</dcterms:created>
  <dcterms:modified xsi:type="dcterms:W3CDTF">2019-05-16T12:54:00Z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