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80D2F">
        <w:rPr>
          <w:noProof/>
          <w:color w:val="000000"/>
          <w:sz w:val="18"/>
          <w:szCs w:val="18"/>
        </w:rPr>
        <w:t>November 3,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5" w:author="Augustin, Jourdain M" w:date="2014-11-03T11:00:00Z">
              <w:r>
                <w:rPr>
                  <w:rFonts w:asciiTheme="minorHAnsi" w:hAnsiTheme="minorHAnsi"/>
                  <w:i w:val="0"/>
                  <w:sz w:val="20"/>
                </w:rPr>
                <w:t>11/03/2014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ins w:id="16" w:author="Augustin, Jourdain M" w:date="2014-11-03T11:00:00Z">
              <w:r>
                <w:rPr>
                  <w:rFonts w:asciiTheme="minorHAnsi" w:hAnsiTheme="minorHAnsi"/>
                </w:rPr>
                <w:t xml:space="preserve">P13631 – Create new test case ECUIDASH16 to test for </w:t>
              </w:r>
              <w:r>
                <w:rPr>
                  <w:rFonts w:asciiTheme="minorHAnsi" w:hAnsiTheme="minorHAnsi"/>
                </w:rPr>
                <w:lastRenderedPageBreak/>
                <w:t>management notes and management auto date update from review page for CSE pending manager review records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7" w:author="Augustin, Jourdain M" w:date="2014-11-03T11:01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180D2F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180D2F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180D2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180D2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180D2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180D2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180D2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180D2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180D2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180D2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180D2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180D2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180D2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hyperlink r:id="rId23" w:history="1"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ins w:id="18" w:author="Augustin, Jourdain M" w:date="2014-11-03T11:02:00Z"/>
          <w:sz w:val="18"/>
        </w:rPr>
      </w:pPr>
    </w:p>
    <w:p w:rsidR="00180D2F" w:rsidRPr="00B01C06" w:rsidRDefault="00180D2F" w:rsidP="00180D2F">
      <w:pPr>
        <w:rPr>
          <w:ins w:id="19" w:author="Augustin, Jourdain M" w:date="2014-11-03T11:02:00Z"/>
          <w:sz w:val="18"/>
        </w:rPr>
      </w:pPr>
    </w:p>
    <w:p w:rsidR="00180D2F" w:rsidRPr="00B01C06" w:rsidRDefault="00180D2F" w:rsidP="00180D2F">
      <w:pPr>
        <w:rPr>
          <w:ins w:id="20" w:author="Augustin, Jourdain M" w:date="2014-11-03T11:02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  <w:ins w:id="21" w:author="Augustin, Jourdain M" w:date="2014-11-03T11:02:00Z"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ins w:id="22" w:author="Augustin, Jourdain M" w:date="2014-11-03T11:02:00Z"/>
                <w:b/>
                <w:sz w:val="18"/>
              </w:rPr>
            </w:pPr>
            <w:ins w:id="23" w:author="Augustin, Jourdain M" w:date="2014-11-03T11:02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ins w:id="24" w:author="Augustin, Jourdain M" w:date="2014-11-03T11:02:00Z"/>
                <w:b/>
                <w:sz w:val="18"/>
              </w:rPr>
            </w:pPr>
            <w:ins w:id="25" w:author="Augustin, Jourdain M" w:date="2014-11-03T11:02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180D2F" w:rsidRPr="00B01C06" w:rsidTr="00180D2F">
        <w:trPr>
          <w:ins w:id="26" w:author="Augustin, Jourdain M" w:date="2014-11-03T11:02:00Z"/>
        </w:trPr>
        <w:tc>
          <w:tcPr>
            <w:tcW w:w="2549" w:type="dxa"/>
          </w:tcPr>
          <w:p w:rsidR="00180D2F" w:rsidRPr="00B01C06" w:rsidRDefault="00180D2F" w:rsidP="00180D2F">
            <w:pPr>
              <w:rPr>
                <w:ins w:id="27" w:author="Augustin, Jourdain M" w:date="2014-11-03T11:02:00Z"/>
                <w:sz w:val="18"/>
              </w:rPr>
            </w:pPr>
            <w:ins w:id="28" w:author="Augustin, Jourdain M" w:date="2014-11-03T11:02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ins w:id="29" w:author="Augustin, Jourdain M" w:date="2014-11-03T11:02:00Z"/>
                <w:sz w:val="18"/>
              </w:rPr>
            </w:pPr>
            <w:bookmarkStart w:id="30" w:name="_GoBack"/>
            <w:ins w:id="31" w:author="Augustin, Jourdain M" w:date="2014-11-03T11:02:00Z">
              <w:r w:rsidRPr="00B01C06">
                <w:rPr>
                  <w:sz w:val="18"/>
                </w:rPr>
                <w:t>ECUIDASH1</w:t>
              </w:r>
              <w:r w:rsidR="002B1F16">
                <w:rPr>
                  <w:sz w:val="18"/>
                </w:rPr>
                <w:t>6</w:t>
              </w:r>
              <w:bookmarkEnd w:id="30"/>
            </w:ins>
          </w:p>
        </w:tc>
      </w:tr>
      <w:tr w:rsidR="00180D2F" w:rsidRPr="00B01C06" w:rsidTr="00180D2F">
        <w:trPr>
          <w:ins w:id="32" w:author="Augustin, Jourdain M" w:date="2014-11-03T11:02:00Z"/>
        </w:trPr>
        <w:tc>
          <w:tcPr>
            <w:tcW w:w="2549" w:type="dxa"/>
          </w:tcPr>
          <w:p w:rsidR="00180D2F" w:rsidRPr="00B01C06" w:rsidRDefault="00180D2F" w:rsidP="00180D2F">
            <w:pPr>
              <w:rPr>
                <w:ins w:id="33" w:author="Augustin, Jourdain M" w:date="2014-11-03T11:02:00Z"/>
                <w:sz w:val="18"/>
              </w:rPr>
            </w:pPr>
            <w:ins w:id="34" w:author="Augustin, Jourdain M" w:date="2014-11-03T11:02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ins w:id="35" w:author="Augustin, Jourdain M" w:date="2014-11-03T11:02:00Z"/>
                <w:sz w:val="18"/>
              </w:rPr>
            </w:pPr>
          </w:p>
        </w:tc>
      </w:tr>
      <w:tr w:rsidR="00180D2F" w:rsidRPr="00B01C06" w:rsidTr="00180D2F">
        <w:trPr>
          <w:ins w:id="36" w:author="Augustin, Jourdain M" w:date="2014-11-03T11:02:00Z"/>
        </w:trPr>
        <w:tc>
          <w:tcPr>
            <w:tcW w:w="2549" w:type="dxa"/>
          </w:tcPr>
          <w:p w:rsidR="00180D2F" w:rsidRPr="00B01C06" w:rsidRDefault="00180D2F" w:rsidP="00180D2F">
            <w:pPr>
              <w:rPr>
                <w:ins w:id="37" w:author="Augustin, Jourdain M" w:date="2014-11-03T11:02:00Z"/>
                <w:sz w:val="18"/>
              </w:rPr>
            </w:pPr>
            <w:ins w:id="38" w:author="Augustin, Jourdain M" w:date="2014-11-03T11:02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ins w:id="39" w:author="Augustin, Jourdain M" w:date="2014-11-03T11:02:00Z"/>
                <w:sz w:val="18"/>
              </w:rPr>
            </w:pPr>
            <w:ins w:id="40" w:author="Augustin, Jourdain M" w:date="2014-11-03T11:02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180D2F" w:rsidRPr="00B01C06" w:rsidTr="00180D2F">
        <w:trPr>
          <w:ins w:id="41" w:author="Augustin, Jourdain M" w:date="2014-11-03T11:02:00Z"/>
        </w:trPr>
        <w:tc>
          <w:tcPr>
            <w:tcW w:w="2549" w:type="dxa"/>
          </w:tcPr>
          <w:p w:rsidR="00180D2F" w:rsidRPr="00B01C06" w:rsidRDefault="00180D2F" w:rsidP="00180D2F">
            <w:pPr>
              <w:rPr>
                <w:ins w:id="42" w:author="Augustin, Jourdain M" w:date="2014-11-03T11:02:00Z"/>
                <w:sz w:val="18"/>
              </w:rPr>
            </w:pPr>
            <w:ins w:id="43" w:author="Augustin, Jourdain M" w:date="2014-11-03T11:02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ins w:id="44" w:author="Augustin, Jourdain M" w:date="2014-11-03T11:02:00Z"/>
                <w:sz w:val="18"/>
              </w:rPr>
            </w:pPr>
            <w:ins w:id="45" w:author="Augustin, Jourdain M" w:date="2014-11-03T11:02:00Z">
              <w:r w:rsidRPr="00B01C06">
                <w:rPr>
                  <w:sz w:val="18"/>
                </w:rPr>
                <w:t>review.aspx</w:t>
              </w:r>
            </w:ins>
            <w:ins w:id="46" w:author="Augustin, Jourdain M" w:date="2014-11-03T11:03:00Z">
              <w:r w:rsidR="002B1F16">
                <w:rPr>
                  <w:sz w:val="18"/>
                </w:rPr>
                <w:t xml:space="preserve">, </w:t>
              </w:r>
              <w:r w:rsidR="002B1F16" w:rsidRPr="002B1F16">
                <w:rPr>
                  <w:sz w:val="18"/>
                </w:rPr>
                <w:t>eCoachingFixed.dll</w:t>
              </w:r>
            </w:ins>
          </w:p>
        </w:tc>
      </w:tr>
      <w:tr w:rsidR="00180D2F" w:rsidRPr="00B01C06" w:rsidTr="00180D2F">
        <w:trPr>
          <w:ins w:id="47" w:author="Augustin, Jourdain M" w:date="2014-11-03T11:02:00Z"/>
        </w:trPr>
        <w:tc>
          <w:tcPr>
            <w:tcW w:w="2549" w:type="dxa"/>
          </w:tcPr>
          <w:p w:rsidR="00180D2F" w:rsidRPr="00B01C06" w:rsidRDefault="00180D2F" w:rsidP="00180D2F">
            <w:pPr>
              <w:rPr>
                <w:ins w:id="48" w:author="Augustin, Jourdain M" w:date="2014-11-03T11:02:00Z"/>
                <w:sz w:val="18"/>
              </w:rPr>
            </w:pPr>
            <w:ins w:id="49" w:author="Augustin, Jourdain M" w:date="2014-11-03T11:02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ins w:id="50" w:author="Augustin, Jourdain M" w:date="2014-11-03T11:02:00Z"/>
                <w:sz w:val="18"/>
              </w:rPr>
            </w:pPr>
          </w:p>
        </w:tc>
      </w:tr>
      <w:tr w:rsidR="00180D2F" w:rsidRPr="00B01C06" w:rsidTr="00180D2F">
        <w:trPr>
          <w:ins w:id="51" w:author="Augustin, Jourdain M" w:date="2014-11-03T11:02:00Z"/>
        </w:trPr>
        <w:tc>
          <w:tcPr>
            <w:tcW w:w="2549" w:type="dxa"/>
          </w:tcPr>
          <w:p w:rsidR="00180D2F" w:rsidRPr="00B01C06" w:rsidRDefault="00180D2F" w:rsidP="00180D2F">
            <w:pPr>
              <w:rPr>
                <w:ins w:id="52" w:author="Augustin, Jourdain M" w:date="2014-11-03T11:02:00Z"/>
                <w:sz w:val="18"/>
              </w:rPr>
            </w:pPr>
            <w:ins w:id="53" w:author="Augustin, Jourdain M" w:date="2014-11-03T11:02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ins w:id="54" w:author="Augustin, Jourdain M" w:date="2014-11-03T11:02:00Z"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ins w:id="55" w:author="Augustin, Jourdain M" w:date="2014-11-03T11:02:00Z"/>
          <w:sz w:val="18"/>
        </w:rPr>
      </w:pPr>
    </w:p>
    <w:p w:rsidR="00180D2F" w:rsidRPr="00B01C06" w:rsidRDefault="00180D2F" w:rsidP="00180D2F">
      <w:pPr>
        <w:rPr>
          <w:ins w:id="56" w:author="Augustin, Jourdain M" w:date="2014-11-03T11:02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  <w:ins w:id="57" w:author="Augustin, Jourdain M" w:date="2014-11-03T11:02:00Z"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ins w:id="58" w:author="Augustin, Jourdain M" w:date="2014-11-03T11:02:00Z"/>
                <w:b/>
                <w:i/>
                <w:sz w:val="18"/>
              </w:rPr>
            </w:pPr>
            <w:ins w:id="59" w:author="Augustin, Jourdain M" w:date="2014-11-03T11:02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ins w:id="60" w:author="Augustin, Jourdain M" w:date="2014-11-03T11:02:00Z"/>
                <w:b/>
                <w:i/>
                <w:sz w:val="18"/>
              </w:rPr>
            </w:pPr>
            <w:ins w:id="61" w:author="Augustin, Jourdain M" w:date="2014-11-03T11:02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ins w:id="62" w:author="Augustin, Jourdain M" w:date="2014-11-03T11:02:00Z"/>
                <w:b/>
                <w:i/>
                <w:sz w:val="18"/>
              </w:rPr>
            </w:pPr>
            <w:ins w:id="63" w:author="Augustin, Jourdain M" w:date="2014-11-03T11:02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ins w:id="64" w:author="Augustin, Jourdain M" w:date="2014-11-03T11:02:00Z"/>
                <w:b/>
                <w:i/>
                <w:sz w:val="18"/>
              </w:rPr>
            </w:pPr>
            <w:ins w:id="65" w:author="Augustin, Jourdain M" w:date="2014-11-03T11:02:00Z">
              <w:r w:rsidRPr="00B01C06">
                <w:rPr>
                  <w:b/>
                  <w:sz w:val="18"/>
                </w:rPr>
                <w:t>RESULTS</w:t>
              </w:r>
            </w:ins>
          </w:p>
          <w:p w:rsidR="00180D2F" w:rsidRPr="00B01C06" w:rsidRDefault="00180D2F" w:rsidP="00180D2F">
            <w:pPr>
              <w:rPr>
                <w:ins w:id="66" w:author="Augustin, Jourdain M" w:date="2014-11-03T11:02:00Z"/>
                <w:b/>
                <w:i/>
                <w:sz w:val="18"/>
              </w:rPr>
            </w:pPr>
            <w:ins w:id="67" w:author="Augustin, Jourdain M" w:date="2014-11-03T11:02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ins w:id="68" w:author="Augustin, Jourdain M" w:date="2014-11-03T11:02:00Z"/>
                <w:b/>
                <w:i/>
                <w:sz w:val="18"/>
              </w:rPr>
            </w:pPr>
            <w:ins w:id="69" w:author="Augustin, Jourdain M" w:date="2014-11-03T11:02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180D2F" w:rsidRPr="00B01C06" w:rsidTr="00180D2F">
        <w:trPr>
          <w:cantSplit/>
          <w:ins w:id="70" w:author="Augustin, Jourdain M" w:date="2014-11-03T11:02:00Z"/>
        </w:trPr>
        <w:tc>
          <w:tcPr>
            <w:tcW w:w="900" w:type="dxa"/>
          </w:tcPr>
          <w:p w:rsidR="00180D2F" w:rsidRPr="00B01C06" w:rsidRDefault="00180D2F" w:rsidP="00180D2F">
            <w:pPr>
              <w:numPr>
                <w:ilvl w:val="0"/>
                <w:numId w:val="18"/>
              </w:numPr>
              <w:rPr>
                <w:ins w:id="71" w:author="Augustin, Jourdain M" w:date="2014-11-03T11:02:00Z"/>
                <w:i/>
                <w:sz w:val="18"/>
              </w:rPr>
              <w:pPrChange w:id="72" w:author="Augustin, Jourdain M" w:date="2014-11-03T11:02:00Z">
                <w:pPr>
                  <w:numPr>
                    <w:numId w:val="17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ins w:id="73" w:author="Augustin, Jourdain M" w:date="2014-11-03T11:02:00Z"/>
                <w:bCs/>
                <w:sz w:val="18"/>
              </w:rPr>
            </w:pPr>
            <w:ins w:id="74" w:author="Augustin, Jourdain M" w:date="2014-11-03T11:02:00Z">
              <w:r w:rsidRPr="00B01C06">
                <w:rPr>
                  <w:bCs/>
                  <w:sz w:val="18"/>
                </w:rPr>
                <w:t>Launch link to test main dashboard page using a MGR account from CSR module :</w:t>
              </w:r>
              <w:r w:rsidRPr="00B01C06">
                <w:rPr>
                  <w:bCs/>
                  <w:sz w:val="18"/>
                </w:rPr>
                <w:br/>
              </w:r>
            </w:ins>
          </w:p>
          <w:p w:rsidR="00180D2F" w:rsidRPr="00B01C06" w:rsidRDefault="00180D2F" w:rsidP="00180D2F">
            <w:pPr>
              <w:rPr>
                <w:ins w:id="75" w:author="Augustin, Jourdain M" w:date="2014-11-03T11:02:00Z"/>
                <w:bCs/>
                <w:sz w:val="18"/>
              </w:rPr>
            </w:pPr>
            <w:ins w:id="76" w:author="Augustin, Jourdain M" w:date="2014-11-03T11:02:00Z">
              <w:r w:rsidRPr="00B01C06">
                <w:rPr>
                  <w:sz w:val="18"/>
                </w:rPr>
                <w:fldChar w:fldCharType="begin"/>
              </w:r>
              <w:r w:rsidRPr="00B01C06">
                <w:rPr>
                  <w:sz w:val="18"/>
                </w:rPr>
                <w:instrText xml:space="preserve"> HYPERLINK "https://vacmsmpmd01.vangent.local/coach3/default.aspx" </w:instrText>
              </w:r>
              <w:r w:rsidRPr="00B01C06">
                <w:rPr>
                  <w:sz w:val="18"/>
                </w:rPr>
                <w:fldChar w:fldCharType="separate"/>
              </w:r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  <w:r w:rsidRPr="00B01C06">
                <w:rPr>
                  <w:sz w:val="18"/>
                </w:rPr>
                <w:fldChar w:fldCharType="end"/>
              </w:r>
              <w:r w:rsidRPr="00B01C06">
                <w:rPr>
                  <w:sz w:val="18"/>
                </w:rPr>
                <w:t xml:space="preserve"> </w:t>
              </w:r>
            </w:ins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ins w:id="77" w:author="Augustin, Jourdain M" w:date="2014-11-03T11:02:00Z"/>
                <w:sz w:val="18"/>
              </w:rPr>
            </w:pPr>
            <w:ins w:id="78" w:author="Augustin, Jourdain M" w:date="2014-11-03T11:02:00Z">
              <w:r w:rsidRPr="00B01C06">
                <w:rPr>
                  <w:sz w:val="18"/>
                </w:rPr>
                <w:t xml:space="preserve">Main page successfully loads with credentials passed reflecting data in database </w:t>
              </w:r>
              <w:proofErr w:type="spellStart"/>
              <w:r w:rsidRPr="00B01C06">
                <w:rPr>
                  <w:sz w:val="18"/>
                </w:rPr>
                <w:t>db</w:t>
              </w:r>
              <w:proofErr w:type="spellEnd"/>
              <w:r w:rsidRPr="00B01C06">
                <w:rPr>
                  <w:sz w:val="18"/>
                </w:rPr>
                <w:br/>
              </w:r>
              <w:r w:rsidRPr="00B01C06">
                <w:rPr>
                  <w:sz w:val="18"/>
                </w:rPr>
                <w:br/>
              </w:r>
            </w:ins>
          </w:p>
        </w:tc>
        <w:tc>
          <w:tcPr>
            <w:tcW w:w="1260" w:type="dxa"/>
          </w:tcPr>
          <w:p w:rsidR="00180D2F" w:rsidRPr="00B01C06" w:rsidRDefault="00180D2F" w:rsidP="002B1F16">
            <w:pPr>
              <w:jc w:val="center"/>
              <w:rPr>
                <w:ins w:id="79" w:author="Augustin, Jourdain M" w:date="2014-11-03T11:02:00Z"/>
                <w:i/>
                <w:sz w:val="18"/>
              </w:rPr>
              <w:pPrChange w:id="80" w:author="Augustin, Jourdain M" w:date="2014-11-03T11:04:00Z">
                <w:pPr/>
              </w:pPrChange>
            </w:pPr>
            <w:ins w:id="81" w:author="Augustin, Jourdain M" w:date="2014-11-03T11:02:00Z">
              <w:r w:rsidRPr="00B01C06">
                <w:rPr>
                  <w:i/>
                  <w:sz w:val="18"/>
                </w:rPr>
                <w:t>P</w:t>
              </w:r>
            </w:ins>
          </w:p>
          <w:p w:rsidR="00180D2F" w:rsidRPr="00B01C06" w:rsidRDefault="00180D2F" w:rsidP="002B1F16">
            <w:pPr>
              <w:jc w:val="center"/>
              <w:rPr>
                <w:ins w:id="82" w:author="Augustin, Jourdain M" w:date="2014-11-03T11:02:00Z"/>
                <w:i/>
                <w:sz w:val="18"/>
              </w:rPr>
              <w:pPrChange w:id="83" w:author="Augustin, Jourdain M" w:date="2014-11-03T11:04:00Z">
                <w:pPr/>
              </w:pPrChange>
            </w:pPr>
            <w:ins w:id="84" w:author="Augustin, Jourdain M" w:date="2014-11-03T11:02:00Z">
              <w:r w:rsidRPr="00B01C06">
                <w:rPr>
                  <w:i/>
                  <w:sz w:val="18"/>
                </w:rPr>
                <w:t>1</w:t>
              </w:r>
            </w:ins>
            <w:ins w:id="85" w:author="Augustin, Jourdain M" w:date="2014-11-03T11:04:00Z">
              <w:r w:rsidR="002B1F16">
                <w:rPr>
                  <w:i/>
                  <w:sz w:val="18"/>
                </w:rPr>
                <w:t>1</w:t>
              </w:r>
            </w:ins>
            <w:ins w:id="86" w:author="Augustin, Jourdain M" w:date="2014-11-03T11:02:00Z">
              <w:r w:rsidRPr="00B01C06">
                <w:rPr>
                  <w:i/>
                  <w:sz w:val="18"/>
                </w:rPr>
                <w:t>/</w:t>
              </w:r>
            </w:ins>
            <w:ins w:id="87" w:author="Augustin, Jourdain M" w:date="2014-11-03T11:04:00Z">
              <w:r w:rsidR="002B1F16">
                <w:rPr>
                  <w:i/>
                  <w:sz w:val="18"/>
                </w:rPr>
                <w:t>03</w:t>
              </w:r>
            </w:ins>
            <w:ins w:id="88" w:author="Augustin, Jourdain M" w:date="2014-11-03T11:02:00Z"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ns w:id="89" w:author="Augustin, Jourdain M" w:date="2014-11-03T11:02:00Z"/>
                <w:i/>
                <w:sz w:val="18"/>
              </w:rPr>
            </w:pPr>
          </w:p>
        </w:tc>
      </w:tr>
      <w:tr w:rsidR="00180D2F" w:rsidRPr="00B01C06" w:rsidTr="00180D2F">
        <w:trPr>
          <w:ins w:id="90" w:author="Augustin, Jourdain M" w:date="2014-11-03T11:02:00Z"/>
        </w:trPr>
        <w:tc>
          <w:tcPr>
            <w:tcW w:w="900" w:type="dxa"/>
          </w:tcPr>
          <w:p w:rsidR="00180D2F" w:rsidRPr="00B01C06" w:rsidRDefault="00180D2F" w:rsidP="00180D2F">
            <w:pPr>
              <w:numPr>
                <w:ilvl w:val="0"/>
                <w:numId w:val="18"/>
              </w:numPr>
              <w:rPr>
                <w:ins w:id="91" w:author="Augustin, Jourdain M" w:date="2014-11-03T11:02:00Z"/>
                <w:i/>
                <w:sz w:val="18"/>
              </w:rPr>
              <w:pPrChange w:id="92" w:author="Augustin, Jourdain M" w:date="2014-11-03T11:02:00Z">
                <w:pPr>
                  <w:numPr>
                    <w:numId w:val="17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ins w:id="93" w:author="Augustin, Jourdain M" w:date="2014-11-03T11:02:00Z"/>
                <w:bCs/>
                <w:sz w:val="18"/>
              </w:rPr>
            </w:pPr>
            <w:ins w:id="94" w:author="Augustin, Jourdain M" w:date="2014-11-03T11:02:00Z">
              <w:r w:rsidRPr="00B01C06">
                <w:rPr>
                  <w:bCs/>
                  <w:sz w:val="18"/>
                </w:rPr>
                <w:t>Select “My Dashboard” or “My Submissions” tab and open a</w:t>
              </w:r>
            </w:ins>
            <w:ins w:id="95" w:author="Augustin, Jourdain M" w:date="2014-11-03T11:05:00Z">
              <w:r w:rsidR="002B1F16">
                <w:rPr>
                  <w:bCs/>
                  <w:sz w:val="18"/>
                </w:rPr>
                <w:t xml:space="preserve"> CSE </w:t>
              </w:r>
            </w:ins>
            <w:ins w:id="96" w:author="Augustin, Jourdain M" w:date="2014-11-03T11:02:00Z">
              <w:r w:rsidRPr="00B01C06">
                <w:rPr>
                  <w:bCs/>
                  <w:sz w:val="18"/>
                </w:rPr>
                <w:t>record</w:t>
              </w:r>
            </w:ins>
            <w:ins w:id="97" w:author="Augustin, Jourdain M" w:date="2014-11-03T11:06:00Z">
              <w:r w:rsidR="002B1F16">
                <w:rPr>
                  <w:bCs/>
                  <w:sz w:val="18"/>
                </w:rPr>
                <w:t xml:space="preserve"> that is pending manager review</w:t>
              </w:r>
            </w:ins>
            <w:ins w:id="98" w:author="Augustin, Jourdain M" w:date="2014-11-03T11:02:00Z">
              <w:r w:rsidRPr="00B01C06">
                <w:rPr>
                  <w:bCs/>
                  <w:sz w:val="18"/>
                </w:rPr>
                <w:t xml:space="preserve">.  </w:t>
              </w:r>
            </w:ins>
          </w:p>
          <w:p w:rsidR="00180D2F" w:rsidRPr="00B01C06" w:rsidRDefault="00180D2F" w:rsidP="00180D2F">
            <w:pPr>
              <w:rPr>
                <w:ins w:id="99" w:author="Augustin, Jourdain M" w:date="2014-11-03T11:02:00Z"/>
                <w:bCs/>
                <w:sz w:val="18"/>
              </w:rPr>
            </w:pPr>
            <w:ins w:id="100" w:author="Augustin, Jourdain M" w:date="2014-11-03T11:02:00Z">
              <w:r w:rsidRPr="00B01C06">
                <w:rPr>
                  <w:bCs/>
                  <w:sz w:val="18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ins w:id="101" w:author="Augustin, Jourdain M" w:date="2014-11-03T11:02:00Z"/>
                <w:sz w:val="18"/>
              </w:rPr>
            </w:pPr>
            <w:ins w:id="102" w:author="Augustin, Jourdain M" w:date="2014-11-03T11:02:00Z">
              <w:r w:rsidRPr="00B01C06">
                <w:rPr>
                  <w:sz w:val="18"/>
                </w:rPr>
                <w:t xml:space="preserve">Verify that </w:t>
              </w:r>
              <w:r>
                <w:rPr>
                  <w:sz w:val="18"/>
                </w:rPr>
                <w:t xml:space="preserve">the </w:t>
              </w:r>
            </w:ins>
            <w:ins w:id="103" w:author="Augustin, Jourdain M" w:date="2014-11-03T11:06:00Z">
              <w:r w:rsidR="002B1F16">
                <w:rPr>
                  <w:sz w:val="18"/>
                </w:rPr>
                <w:t>record opens with options to indicate it is a CSE record</w:t>
              </w:r>
            </w:ins>
          </w:p>
        </w:tc>
        <w:tc>
          <w:tcPr>
            <w:tcW w:w="1260" w:type="dxa"/>
          </w:tcPr>
          <w:p w:rsidR="00180D2F" w:rsidRPr="00B01C06" w:rsidRDefault="00180D2F" w:rsidP="002B1F16">
            <w:pPr>
              <w:jc w:val="center"/>
              <w:rPr>
                <w:ins w:id="104" w:author="Augustin, Jourdain M" w:date="2014-11-03T11:02:00Z"/>
                <w:i/>
                <w:sz w:val="18"/>
              </w:rPr>
              <w:pPrChange w:id="105" w:author="Augustin, Jourdain M" w:date="2014-11-03T11:04:00Z">
                <w:pPr/>
              </w:pPrChange>
            </w:pPr>
            <w:ins w:id="106" w:author="Augustin, Jourdain M" w:date="2014-11-03T11:02:00Z">
              <w:r w:rsidRPr="00B01C06">
                <w:rPr>
                  <w:i/>
                  <w:sz w:val="18"/>
                </w:rPr>
                <w:t>P</w:t>
              </w:r>
            </w:ins>
          </w:p>
          <w:p w:rsidR="00180D2F" w:rsidRPr="00B01C06" w:rsidRDefault="00180D2F" w:rsidP="002B1F16">
            <w:pPr>
              <w:jc w:val="center"/>
              <w:rPr>
                <w:ins w:id="107" w:author="Augustin, Jourdain M" w:date="2014-11-03T11:02:00Z"/>
                <w:i/>
                <w:sz w:val="18"/>
              </w:rPr>
              <w:pPrChange w:id="108" w:author="Augustin, Jourdain M" w:date="2014-11-03T11:04:00Z">
                <w:pPr/>
              </w:pPrChange>
            </w:pPr>
            <w:ins w:id="109" w:author="Augustin, Jourdain M" w:date="2014-11-03T11:02:00Z">
              <w:r w:rsidRPr="00B01C06">
                <w:rPr>
                  <w:i/>
                  <w:sz w:val="18"/>
                </w:rPr>
                <w:t>1</w:t>
              </w:r>
            </w:ins>
            <w:ins w:id="110" w:author="Augustin, Jourdain M" w:date="2014-11-03T11:04:00Z">
              <w:r w:rsidR="002B1F16">
                <w:rPr>
                  <w:i/>
                  <w:sz w:val="18"/>
                </w:rPr>
                <w:t>1</w:t>
              </w:r>
            </w:ins>
            <w:ins w:id="111" w:author="Augustin, Jourdain M" w:date="2014-11-03T11:02:00Z">
              <w:r w:rsidRPr="00B01C06">
                <w:rPr>
                  <w:i/>
                  <w:sz w:val="18"/>
                </w:rPr>
                <w:t>/</w:t>
              </w:r>
            </w:ins>
            <w:ins w:id="112" w:author="Augustin, Jourdain M" w:date="2014-11-03T11:04:00Z">
              <w:r w:rsidR="002B1F16">
                <w:rPr>
                  <w:i/>
                  <w:sz w:val="18"/>
                </w:rPr>
                <w:t>03</w:t>
              </w:r>
            </w:ins>
            <w:ins w:id="113" w:author="Augustin, Jourdain M" w:date="2014-11-03T11:02:00Z"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ns w:id="114" w:author="Augustin, Jourdain M" w:date="2014-11-03T11:02:00Z"/>
                <w:i/>
                <w:sz w:val="18"/>
              </w:rPr>
            </w:pPr>
          </w:p>
        </w:tc>
      </w:tr>
      <w:tr w:rsidR="002B1F16" w:rsidRPr="00B01C06" w:rsidTr="00180D2F">
        <w:trPr>
          <w:ins w:id="115" w:author="Augustin, Jourdain M" w:date="2014-11-03T11:06:00Z"/>
        </w:trPr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ns w:id="116" w:author="Augustin, Jourdain M" w:date="2014-11-03T11:06:00Z"/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ins w:id="117" w:author="Augustin, Jourdain M" w:date="2014-11-03T11:06:00Z"/>
                <w:bCs/>
                <w:sz w:val="18"/>
              </w:rPr>
            </w:pPr>
            <w:ins w:id="118" w:author="Augustin, Jourdain M" w:date="2014-11-03T11:06:00Z">
              <w:r>
                <w:rPr>
                  <w:bCs/>
                  <w:sz w:val="18"/>
                </w:rPr>
                <w:t>Select “Yes” and add management notes for CSE record and submit.</w:t>
              </w:r>
            </w:ins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ins w:id="119" w:author="Augustin, Jourdain M" w:date="2014-11-03T11:06:00Z"/>
                <w:sz w:val="18"/>
              </w:rPr>
            </w:pPr>
            <w:ins w:id="120" w:author="Augustin, Jourdain M" w:date="2014-11-03T11:07:00Z">
              <w:r>
                <w:rPr>
                  <w:sz w:val="18"/>
                </w:rPr>
                <w:t xml:space="preserve">Verify that database record has updated management notes and auto review management date fields from update. </w:t>
              </w:r>
            </w:ins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ns w:id="121" w:author="Augustin, Jourdain M" w:date="2014-11-03T11:07:00Z"/>
                <w:i/>
                <w:sz w:val="18"/>
              </w:rPr>
            </w:pPr>
            <w:ins w:id="122" w:author="Augustin, Jourdain M" w:date="2014-11-03T11:07:00Z">
              <w:r>
                <w:rPr>
                  <w:i/>
                  <w:sz w:val="18"/>
                </w:rPr>
                <w:t>P</w:t>
              </w:r>
            </w:ins>
          </w:p>
          <w:p w:rsidR="002B1F16" w:rsidRPr="00B01C06" w:rsidRDefault="002B1F16" w:rsidP="002B1F16">
            <w:pPr>
              <w:jc w:val="center"/>
              <w:rPr>
                <w:ins w:id="123" w:author="Augustin, Jourdain M" w:date="2014-11-03T11:06:00Z"/>
                <w:i/>
                <w:sz w:val="18"/>
              </w:rPr>
            </w:pPr>
            <w:ins w:id="124" w:author="Augustin, Jourdain M" w:date="2014-11-03T11:07:00Z">
              <w:r>
                <w:rPr>
                  <w:i/>
                  <w:sz w:val="18"/>
                </w:rPr>
                <w:t>11/03/2014</w:t>
              </w:r>
            </w:ins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ns w:id="125" w:author="Augustin, Jourdain M" w:date="2014-11-03T11:06:00Z"/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ins w:id="126" w:author="Augustin, Jourdain M" w:date="2014-11-03T11:02:00Z"/>
          <w:sz w:val="18"/>
        </w:rPr>
      </w:pPr>
    </w:p>
    <w:p w:rsidR="00180D2F" w:rsidRPr="00B01C06" w:rsidRDefault="00180D2F" w:rsidP="00180D2F">
      <w:pPr>
        <w:rPr>
          <w:ins w:id="127" w:author="Augustin, Jourdain M" w:date="2014-11-03T11:02:00Z"/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sectPr w:rsidR="00B01C06" w:rsidSect="00534A8B">
      <w:headerReference w:type="default" r:id="rId24"/>
      <w:footerReference w:type="default" r:id="rId25"/>
      <w:footerReference w:type="first" r:id="rId26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475" w:rsidRDefault="00C03475">
      <w:r>
        <w:separator/>
      </w:r>
    </w:p>
  </w:endnote>
  <w:endnote w:type="continuationSeparator" w:id="0">
    <w:p w:rsidR="00C03475" w:rsidRDefault="00C0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D2F" w:rsidRDefault="00180D2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180D2F" w:rsidRDefault="00180D2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180D2F" w:rsidRDefault="00180D2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2B1F16">
      <w:rPr>
        <w:rStyle w:val="PageNumber"/>
        <w:noProof/>
        <w:sz w:val="18"/>
        <w:szCs w:val="18"/>
      </w:rPr>
      <w:t>25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2B1F16">
      <w:rPr>
        <w:rStyle w:val="PageNumber"/>
        <w:noProof/>
        <w:sz w:val="18"/>
        <w:szCs w:val="18"/>
      </w:rPr>
      <w:t>25</w:t>
    </w:r>
    <w:r>
      <w:rPr>
        <w:rStyle w:val="PageNumber"/>
        <w:sz w:val="18"/>
        <w:szCs w:val="18"/>
      </w:rPr>
      <w:fldChar w:fldCharType="end"/>
    </w:r>
  </w:p>
  <w:p w:rsidR="00180D2F" w:rsidRDefault="00180D2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D2F" w:rsidRDefault="00180D2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475" w:rsidRDefault="00C03475">
      <w:r>
        <w:separator/>
      </w:r>
    </w:p>
  </w:footnote>
  <w:footnote w:type="continuationSeparator" w:id="0">
    <w:p w:rsidR="00C03475" w:rsidRDefault="00C03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D2F" w:rsidRPr="00047CB6" w:rsidRDefault="00180D2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180D2F" w:rsidRDefault="00180D2F" w:rsidP="00971190">
    <w:pPr>
      <w:pStyle w:val="Header"/>
    </w:pPr>
  </w:p>
  <w:p w:rsidR="00180D2F" w:rsidRPr="00971190" w:rsidRDefault="00180D2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13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  <w:num w:numId="13">
    <w:abstractNumId w:val="15"/>
  </w:num>
  <w:num w:numId="14">
    <w:abstractNumId w:val="12"/>
  </w:num>
  <w:num w:numId="15">
    <w:abstractNumId w:val="16"/>
  </w:num>
  <w:num w:numId="16">
    <w:abstractNumId w:val="14"/>
  </w:num>
  <w:num w:numId="17">
    <w:abstractNumId w:val="17"/>
  </w:num>
  <w:num w:numId="1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5271"/>
    <w:rsid w:val="00161AF0"/>
    <w:rsid w:val="0016480D"/>
    <w:rsid w:val="00180D2F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22943"/>
    <w:rsid w:val="00256204"/>
    <w:rsid w:val="00283C91"/>
    <w:rsid w:val="002971C5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A5787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A04243"/>
    <w:rsid w:val="00A14774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131F6"/>
    <w:rsid w:val="00F13992"/>
    <w:rsid w:val="00F2084E"/>
    <w:rsid w:val="00F31CE7"/>
    <w:rsid w:val="00F34465"/>
    <w:rsid w:val="00F35460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06398-37BB-4A26-8172-2D1CCBF6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25</Pages>
  <Words>2930</Words>
  <Characters>16703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19594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15</cp:revision>
  <cp:lastPrinted>2008-03-17T22:13:00Z</cp:lastPrinted>
  <dcterms:created xsi:type="dcterms:W3CDTF">2014-09-08T14:20:00Z</dcterms:created>
  <dcterms:modified xsi:type="dcterms:W3CDTF">2014-11-03T16:08:00Z</dcterms:modified>
</cp:coreProperties>
</file>