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Warnings in </w:t>
      </w:r>
      <w:proofErr w:type="spellStart"/>
      <w:r>
        <w:rPr>
          <w:b/>
          <w:color w:val="000000"/>
          <w:sz w:val="40"/>
          <w:szCs w:val="40"/>
        </w:rPr>
        <w:t>eCL</w:t>
      </w:r>
      <w:proofErr w:type="spellEnd"/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818E2">
        <w:rPr>
          <w:noProof/>
          <w:color w:val="000000"/>
          <w:sz w:val="18"/>
          <w:szCs w:val="18"/>
        </w:rPr>
        <w:t>October 28,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4827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 xml:space="preserve">3479 – Incorporate CSR warnings in </w:t>
            </w:r>
            <w:proofErr w:type="spellStart"/>
            <w:r w:rsidR="00CD7D89">
              <w:t>eCL</w:t>
            </w:r>
            <w:proofErr w:type="spellEnd"/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C6461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53312" w:history="1">
            <w:r w:rsidR="008C6461" w:rsidRPr="00393422">
              <w:rPr>
                <w:rStyle w:val="Hyperlink"/>
                <w:noProof/>
              </w:rPr>
              <w:t>1.0</w:t>
            </w:r>
            <w:r w:rsidR="008C64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6461" w:rsidRPr="00393422">
              <w:rPr>
                <w:rStyle w:val="Hyperlink"/>
                <w:noProof/>
              </w:rPr>
              <w:t>SCR 13479 – Incorporate CSR warnings in eCL</w:t>
            </w:r>
            <w:r w:rsidR="008C6461">
              <w:rPr>
                <w:noProof/>
                <w:webHidden/>
              </w:rPr>
              <w:tab/>
            </w:r>
            <w:r w:rsidR="008C6461">
              <w:rPr>
                <w:noProof/>
                <w:webHidden/>
              </w:rPr>
              <w:fldChar w:fldCharType="begin"/>
            </w:r>
            <w:r w:rsidR="008C6461">
              <w:rPr>
                <w:noProof/>
                <w:webHidden/>
              </w:rPr>
              <w:instrText xml:space="preserve"> PAGEREF _Toc402253312 \h </w:instrText>
            </w:r>
            <w:r w:rsidR="008C6461">
              <w:rPr>
                <w:noProof/>
                <w:webHidden/>
              </w:rPr>
            </w:r>
            <w:r w:rsidR="008C6461">
              <w:rPr>
                <w:noProof/>
                <w:webHidden/>
              </w:rPr>
              <w:fldChar w:fldCharType="separate"/>
            </w:r>
            <w:r w:rsidR="008C6461">
              <w:rPr>
                <w:noProof/>
                <w:webHidden/>
              </w:rPr>
              <w:t>4</w:t>
            </w:r>
            <w:r w:rsidR="008C6461">
              <w:rPr>
                <w:noProof/>
                <w:webHidden/>
              </w:rPr>
              <w:fldChar w:fldCharType="end"/>
            </w:r>
          </w:hyperlink>
        </w:p>
        <w:p w:rsidR="008C6461" w:rsidRDefault="008C64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253313" w:history="1">
            <w:r w:rsidRPr="00393422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3422">
              <w:rPr>
                <w:rStyle w:val="Hyperlink"/>
                <w:noProof/>
              </w:rPr>
              <w:t>SCR 13624 – Inactivate Expired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402253312"/>
      <w:r>
        <w:t xml:space="preserve">SCR </w:t>
      </w:r>
      <w:r w:rsidR="00CD7D89">
        <w:t xml:space="preserve">13479 – Incorporate CSR warnings in </w:t>
      </w:r>
      <w:proofErr w:type="spellStart"/>
      <w:proofErr w:type="gramStart"/>
      <w:r w:rsidR="00CD7D89">
        <w:t>eCL</w:t>
      </w:r>
      <w:bookmarkEnd w:id="17"/>
      <w:proofErr w:type="spellEnd"/>
      <w:proofErr w:type="gramEnd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8C6461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 xml:space="preserve">Warnings as a new Reason in </w:t>
            </w:r>
            <w:proofErr w:type="spellStart"/>
            <w:r w:rsidR="00367380">
              <w:t>e</w:t>
            </w:r>
            <w:r>
              <w:t>CL</w:t>
            </w:r>
            <w:proofErr w:type="spellEnd"/>
            <w:r>
              <w:t>.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8C6461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lastRenderedPageBreak/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lastRenderedPageBreak/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lastRenderedPageBreak/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lastRenderedPageBreak/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proofErr w:type="spellStart"/>
            <w:r>
              <w:lastRenderedPageBreak/>
              <w:t>CoachingReasonID</w:t>
            </w:r>
            <w:proofErr w:type="spellEnd"/>
            <w:r>
              <w:lastRenderedPageBreak/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lastRenderedPageBreak/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lastRenderedPageBreak/>
              <w:t>SubCoachingReasonI</w:t>
            </w:r>
            <w:r>
              <w:lastRenderedPageBreak/>
              <w:t>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lastRenderedPageBreak/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872CD7" w:rsidRDefault="00872CD7" w:rsidP="00C53A9E">
            <w:r>
              <w:t xml:space="preserve">And 2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Expecting to see decrypted values for </w:t>
            </w:r>
            <w:proofErr w:type="spellStart"/>
            <w:r>
              <w:t>Decsription</w:t>
            </w:r>
            <w:proofErr w:type="spellEnd"/>
            <w:r>
              <w:t xml:space="preserve"> and </w:t>
            </w:r>
            <w:proofErr w:type="spellStart"/>
            <w:r>
              <w:t>CoachingNotes</w:t>
            </w:r>
            <w:proofErr w:type="spellEnd"/>
            <w:r>
              <w:t xml:space="preserve">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Returns 2 records where sup is Susmitha </w:t>
            </w:r>
            <w:proofErr w:type="spellStart"/>
            <w:r>
              <w:t>palacherla</w:t>
            </w:r>
            <w:proofErr w:type="spellEnd"/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lastRenderedPageBreak/>
              <w:t xml:space="preserve">Returns 2 records where </w:t>
            </w:r>
            <w:proofErr w:type="spellStart"/>
            <w:r>
              <w:t>mgr</w:t>
            </w:r>
            <w:proofErr w:type="spellEnd"/>
            <w:r>
              <w:t xml:space="preserve">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9F699A" w:rsidRDefault="00821082" w:rsidP="00821082">
            <w:r>
              <w:t xml:space="preserve">And 1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6818E2" w:rsidRDefault="006818E2" w:rsidP="006818E2">
      <w:pPr>
        <w:pStyle w:val="Heading2"/>
        <w:numPr>
          <w:ilvl w:val="0"/>
          <w:numId w:val="3"/>
        </w:numPr>
      </w:pPr>
      <w:bookmarkStart w:id="18" w:name="_Toc402253313"/>
      <w:r>
        <w:t>SCR 13624 – Inactivate Expired warnings</w:t>
      </w:r>
      <w:bookmarkEnd w:id="18"/>
    </w:p>
    <w:p w:rsidR="006818E2" w:rsidRPr="004F5C38" w:rsidRDefault="006818E2" w:rsidP="006818E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8E2" w:rsidTr="008C6461">
        <w:trPr>
          <w:tblHeader/>
        </w:trPr>
        <w:tc>
          <w:tcPr>
            <w:tcW w:w="2549" w:type="dxa"/>
            <w:shd w:val="solid" w:color="auto" w:fill="000000"/>
          </w:tcPr>
          <w:p w:rsidR="006818E2" w:rsidRDefault="006818E2" w:rsidP="008C646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8E2" w:rsidRDefault="006818E2" w:rsidP="008C6461">
            <w:r>
              <w:t>Description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Type</w:t>
            </w:r>
          </w:p>
        </w:tc>
        <w:tc>
          <w:tcPr>
            <w:tcW w:w="10455" w:type="dxa"/>
          </w:tcPr>
          <w:p w:rsidR="006818E2" w:rsidRDefault="006818E2" w:rsidP="008C6461">
            <w:r>
              <w:t>New Functionality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Description</w:t>
            </w:r>
          </w:p>
        </w:tc>
        <w:tc>
          <w:tcPr>
            <w:tcW w:w="10455" w:type="dxa"/>
          </w:tcPr>
          <w:p w:rsidR="006818E2" w:rsidRDefault="006818E2" w:rsidP="008C6461">
            <w:r>
              <w:t>Inactivate all Warning logs 13 weeks after Warning Given Date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Test Environment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Tables Updated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>
              <w:t>EC.Warning_Log</w:t>
            </w:r>
            <w:proofErr w:type="spellEnd"/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Code doc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 w:rsidRPr="006818E2">
              <w:t>CCO_eCoaching_Warning_Log_Create.sql</w:t>
            </w:r>
            <w:proofErr w:type="spellEnd"/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Notes</w:t>
            </w:r>
          </w:p>
        </w:tc>
        <w:tc>
          <w:tcPr>
            <w:tcW w:w="10455" w:type="dxa"/>
          </w:tcPr>
          <w:p w:rsidR="006818E2" w:rsidRPr="00871F07" w:rsidRDefault="006818E2" w:rsidP="008C6461">
            <w:r>
              <w:t xml:space="preserve">Using 91 days for 13 weeks. The Inactivation is done using a stored procedure that is called as a step in the Employee Hierarchy load process that is a daily process. For the unit testing the stored procedure will be executed directly in </w:t>
            </w:r>
            <w:proofErr w:type="spellStart"/>
            <w:r>
              <w:t>ssms</w:t>
            </w:r>
            <w:proofErr w:type="spellEnd"/>
            <w:r>
              <w:t>.</w:t>
            </w:r>
          </w:p>
        </w:tc>
      </w:tr>
    </w:tbl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777"/>
        <w:gridCol w:w="2970"/>
        <w:gridCol w:w="2340"/>
        <w:gridCol w:w="2340"/>
      </w:tblGrid>
      <w:tr w:rsidR="006818E2" w:rsidTr="008C6461">
        <w:tc>
          <w:tcPr>
            <w:tcW w:w="100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798" w:type="dxa"/>
          </w:tcPr>
          <w:p w:rsidR="006818E2" w:rsidRDefault="008C6461" w:rsidP="008C6461">
            <w:r>
              <w:t xml:space="preserve">Set up a test record that has a </w:t>
            </w:r>
            <w:proofErr w:type="spellStart"/>
            <w:r>
              <w:t>warninggivendate</w:t>
            </w:r>
            <w:proofErr w:type="spellEnd"/>
            <w:r>
              <w:t xml:space="preserve"> older than 91 days.</w:t>
            </w:r>
          </w:p>
          <w:p w:rsidR="008C6461" w:rsidRDefault="008C6461" w:rsidP="008C6461"/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warning_log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WarningGivenDate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'2014-06-22 00:00:00.000'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'eCL-Jourdain.Augustin-739834'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Then Exceute 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/>
        </w:tc>
        <w:tc>
          <w:tcPr>
            <w:tcW w:w="2970" w:type="dxa"/>
          </w:tcPr>
          <w:p w:rsidR="006818E2" w:rsidRDefault="008C6461" w:rsidP="008C6461">
            <w:r>
              <w:t xml:space="preserve">When querying the </w:t>
            </w:r>
            <w:proofErr w:type="spellStart"/>
            <w:r>
              <w:t>warning_log</w:t>
            </w:r>
            <w:proofErr w:type="spellEnd"/>
            <w:r>
              <w:t xml:space="preserve"> table, of the 4 logs present in the table , 1 log should have Active = 0 and the other 3 Active = 1</w:t>
            </w:r>
          </w:p>
        </w:tc>
        <w:tc>
          <w:tcPr>
            <w:tcW w:w="2340" w:type="dxa"/>
          </w:tcPr>
          <w:p w:rsidR="006818E2" w:rsidRDefault="006818E2" w:rsidP="008C6461">
            <w:r>
              <w:t>Pass</w:t>
            </w:r>
          </w:p>
        </w:tc>
        <w:tc>
          <w:tcPr>
            <w:tcW w:w="2340" w:type="dxa"/>
          </w:tcPr>
          <w:p w:rsidR="006818E2" w:rsidRDefault="006818E2" w:rsidP="008C6461"/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</w:pPr>
          </w:p>
        </w:tc>
        <w:tc>
          <w:tcPr>
            <w:tcW w:w="2798" w:type="dxa"/>
          </w:tcPr>
          <w:p w:rsidR="006818E2" w:rsidRDefault="006818E2" w:rsidP="008C6461"/>
        </w:tc>
        <w:tc>
          <w:tcPr>
            <w:tcW w:w="297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</w:tr>
    </w:tbl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sectPr w:rsidR="00C53A9E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744" w:rsidRDefault="009E3744">
      <w:r>
        <w:separator/>
      </w:r>
    </w:p>
  </w:endnote>
  <w:endnote w:type="continuationSeparator" w:id="0">
    <w:p w:rsidR="009E3744" w:rsidRDefault="009E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61" w:rsidRDefault="008C646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8C6461" w:rsidRDefault="008C646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8C6461" w:rsidRDefault="008C646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81B30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81B30">
      <w:rPr>
        <w:rStyle w:val="PageNumber"/>
        <w:noProof/>
        <w:sz w:val="18"/>
        <w:szCs w:val="18"/>
      </w:rPr>
      <w:t>16</w:t>
    </w:r>
    <w:r>
      <w:rPr>
        <w:rStyle w:val="PageNumber"/>
        <w:sz w:val="18"/>
        <w:szCs w:val="18"/>
      </w:rPr>
      <w:fldChar w:fldCharType="end"/>
    </w:r>
  </w:p>
  <w:p w:rsidR="008C6461" w:rsidRDefault="008C646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61" w:rsidRDefault="008C646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744" w:rsidRDefault="009E3744">
      <w:r>
        <w:separator/>
      </w:r>
    </w:p>
  </w:footnote>
  <w:footnote w:type="continuationSeparator" w:id="0">
    <w:p w:rsidR="009E3744" w:rsidRDefault="009E3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61" w:rsidRPr="00971190" w:rsidRDefault="008C646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</w:t>
    </w:r>
    <w:proofErr w:type="spellStart"/>
    <w:r>
      <w:rPr>
        <w:sz w:val="18"/>
      </w:rPr>
      <w:t>eCoaching</w:t>
    </w:r>
    <w:proofErr w:type="spell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C5AF7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C6EA7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59A6"/>
    <w:rsid w:val="000A73DD"/>
    <w:rsid w:val="000B6A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F3F"/>
    <w:rsid w:val="00146894"/>
    <w:rsid w:val="00147E06"/>
    <w:rsid w:val="001512EF"/>
    <w:rsid w:val="00155271"/>
    <w:rsid w:val="00161AF0"/>
    <w:rsid w:val="0016480D"/>
    <w:rsid w:val="00182078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249A"/>
    <w:rsid w:val="0065703E"/>
    <w:rsid w:val="006571BE"/>
    <w:rsid w:val="00660CB8"/>
    <w:rsid w:val="00672422"/>
    <w:rsid w:val="006818E2"/>
    <w:rsid w:val="006870A4"/>
    <w:rsid w:val="006D48F6"/>
    <w:rsid w:val="006F2CF5"/>
    <w:rsid w:val="00700C64"/>
    <w:rsid w:val="0070249B"/>
    <w:rsid w:val="00704D51"/>
    <w:rsid w:val="007121E4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C5E07"/>
    <w:rsid w:val="007E16FB"/>
    <w:rsid w:val="007E3BE6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586"/>
    <w:rsid w:val="00887D1D"/>
    <w:rsid w:val="00891C62"/>
    <w:rsid w:val="008A449A"/>
    <w:rsid w:val="008A52CE"/>
    <w:rsid w:val="008A64E9"/>
    <w:rsid w:val="008B4F8F"/>
    <w:rsid w:val="008B7975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D03F9"/>
    <w:rsid w:val="009E3744"/>
    <w:rsid w:val="009F699A"/>
    <w:rsid w:val="009F7083"/>
    <w:rsid w:val="00A04243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7853B-C69A-4C20-9DCB-4D747C96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60</cp:revision>
  <cp:lastPrinted>2008-03-17T22:13:00Z</cp:lastPrinted>
  <dcterms:created xsi:type="dcterms:W3CDTF">2014-06-24T20:40:00Z</dcterms:created>
  <dcterms:modified xsi:type="dcterms:W3CDTF">2014-10-28T23:43:00Z</dcterms:modified>
</cp:coreProperties>
</file>