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Task 25655- eCL-Need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rPr>
          <w:ins w:id="2" w:author="Huang, Lili" w:date="2023-10-03T12:59:00Z"/>
        </w:trPr>
        <w:tc>
          <w:tcPr>
            <w:tcW w:w="1440" w:type="dxa"/>
          </w:tcPr>
          <w:p w14:paraId="0A63CBC7" w14:textId="57AA6304" w:rsidR="00035767" w:rsidRDefault="00035767" w:rsidP="007D29C0">
            <w:pPr>
              <w:pStyle w:val="hdr1"/>
              <w:ind w:left="0"/>
              <w:jc w:val="left"/>
              <w:rPr>
                <w:ins w:id="3" w:author="Huang, Lili" w:date="2023-10-03T12:59:00Z"/>
                <w:sz w:val="20"/>
              </w:rPr>
            </w:pPr>
            <w:ins w:id="4" w:author="Huang, Lili" w:date="2023-10-03T12:59:00Z">
              <w:r>
                <w:rPr>
                  <w:sz w:val="20"/>
                </w:rPr>
                <w:t>10/03/2023</w:t>
              </w:r>
            </w:ins>
          </w:p>
        </w:tc>
        <w:tc>
          <w:tcPr>
            <w:tcW w:w="7224" w:type="dxa"/>
          </w:tcPr>
          <w:p w14:paraId="03C4A524" w14:textId="77777777" w:rsidR="00035767" w:rsidRPr="00035767" w:rsidRDefault="00035767" w:rsidP="00035767">
            <w:pPr>
              <w:pStyle w:val="hdr1"/>
              <w:ind w:left="720" w:hanging="720"/>
              <w:rPr>
                <w:ins w:id="5" w:author="Huang, Lili" w:date="2023-10-03T13:00:00Z"/>
                <w:color w:val="242424"/>
                <w:sz w:val="20"/>
                <w:shd w:val="clear" w:color="auto" w:fill="E8EBFA"/>
              </w:rPr>
            </w:pPr>
            <w:ins w:id="6" w:author="Huang, Lili" w:date="2023-10-03T12:59:00Z">
              <w:r w:rsidRPr="00035767">
                <w:rPr>
                  <w:color w:val="242424"/>
                  <w:sz w:val="20"/>
                  <w:shd w:val="clear" w:color="auto" w:fill="E8EBFA"/>
                </w:rPr>
                <w:t xml:space="preserve">TFS 27222 – Review Page (Audio Issue Coaching logs): </w:t>
              </w:r>
            </w:ins>
          </w:p>
          <w:p w14:paraId="4ED4E09B" w14:textId="77777777" w:rsidR="00035767" w:rsidRDefault="00035767" w:rsidP="00035767">
            <w:pPr>
              <w:pStyle w:val="hdr1"/>
              <w:ind w:left="720" w:hanging="720"/>
              <w:jc w:val="left"/>
              <w:rPr>
                <w:ins w:id="7" w:author="Huang, Lili" w:date="2023-10-03T13:32:00Z"/>
                <w:color w:val="242424"/>
                <w:sz w:val="20"/>
                <w:shd w:val="clear" w:color="auto" w:fill="E8EBFA"/>
              </w:rPr>
            </w:pPr>
            <w:ins w:id="8" w:author="Huang, Lili" w:date="2023-10-03T12:59:00Z">
              <w:r w:rsidRPr="00035767">
                <w:rPr>
                  <w:color w:val="242424"/>
                  <w:sz w:val="20"/>
                  <w:shd w:val="clear" w:color="auto" w:fill="E8EBFA"/>
                </w:rPr>
                <w:t>display Verint ID for</w:t>
              </w:r>
            </w:ins>
            <w:ins w:id="9" w:author="Huang, Lili" w:date="2023-10-03T13:00:00Z">
              <w:r w:rsidRPr="00035767">
                <w:rPr>
                  <w:color w:val="242424"/>
                  <w:sz w:val="20"/>
                  <w:shd w:val="clear" w:color="auto" w:fill="E8EBFA"/>
                </w:rPr>
                <w:t xml:space="preserve"> </w:t>
              </w:r>
            </w:ins>
            <w:ins w:id="10" w:author="Huang, Lili" w:date="2023-10-03T12:59:00Z">
              <w:r w:rsidRPr="00035767">
                <w:rPr>
                  <w:color w:val="242424"/>
                  <w:sz w:val="20"/>
                  <w:shd w:val="clear" w:color="auto" w:fill="E8EBFA"/>
                </w:rPr>
                <w:t>current reviewer when log is Pending Supervisor Revie</w:t>
              </w:r>
            </w:ins>
            <w:ins w:id="11" w:author="Huang, Lili" w:date="2023-10-03T13:00:00Z">
              <w:r w:rsidRPr="00035767">
                <w:rPr>
                  <w:color w:val="242424"/>
                  <w:sz w:val="20"/>
                  <w:shd w:val="clear" w:color="auto" w:fill="E8EBFA"/>
                </w:rPr>
                <w:t>w.</w:t>
              </w:r>
            </w:ins>
          </w:p>
          <w:p w14:paraId="318D5867" w14:textId="184CEB25" w:rsidR="00787DC5" w:rsidRPr="00035767" w:rsidRDefault="00787DC5" w:rsidP="00035767">
            <w:pPr>
              <w:pStyle w:val="hdr1"/>
              <w:ind w:left="720" w:hanging="720"/>
              <w:jc w:val="left"/>
              <w:rPr>
                <w:ins w:id="12" w:author="Huang, Lili" w:date="2023-10-03T12:59:00Z"/>
                <w:color w:val="242424"/>
                <w:sz w:val="20"/>
                <w:shd w:val="clear" w:color="auto" w:fill="E8EBFA"/>
              </w:rPr>
            </w:pPr>
            <w:ins w:id="13" w:author="Huang, Lili" w:date="2023-10-03T13:32:00Z">
              <w:r>
                <w:rPr>
                  <w:color w:val="242424"/>
                  <w:sz w:val="20"/>
                  <w:shd w:val="clear" w:color="auto" w:fill="E8EBFA"/>
                </w:rPr>
                <w:t xml:space="preserve">Updated </w:t>
              </w:r>
              <w:r>
                <w:rPr>
                  <w:sz w:val="20"/>
                </w:rPr>
                <w:t>RV-CSR-AUD-1</w:t>
              </w:r>
            </w:ins>
          </w:p>
        </w:tc>
        <w:tc>
          <w:tcPr>
            <w:tcW w:w="2790" w:type="dxa"/>
          </w:tcPr>
          <w:p w14:paraId="1685295C" w14:textId="47FC00DD" w:rsidR="00035767" w:rsidRDefault="00035767" w:rsidP="002D2D88">
            <w:pPr>
              <w:pStyle w:val="hdr1"/>
              <w:ind w:left="0"/>
              <w:jc w:val="left"/>
              <w:rPr>
                <w:ins w:id="14" w:author="Huang, Lili" w:date="2023-10-03T12:59:00Z"/>
                <w:sz w:val="20"/>
              </w:rPr>
            </w:pPr>
            <w:ins w:id="15" w:author="Huang, Lili" w:date="2023-10-03T13:00:00Z">
              <w:r>
                <w:rPr>
                  <w:sz w:val="20"/>
                </w:rPr>
                <w:t xml:space="preserve">Lili </w:t>
              </w:r>
            </w:ins>
            <w:ins w:id="16" w:author="Huang, Lili" w:date="2023-10-03T13:01:00Z">
              <w:r>
                <w:rPr>
                  <w:sz w:val="20"/>
                </w:rPr>
                <w:t>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7"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7"/>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7DB1D38A" w:rsidR="00651A05" w:rsidRDefault="00651A05" w:rsidP="002A1724">
            <w:pPr>
              <w:tabs>
                <w:tab w:val="left" w:pos="360"/>
              </w:tabs>
              <w:jc w:val="center"/>
              <w:rPr>
                <w:sz w:val="20"/>
              </w:rPr>
            </w:pPr>
            <w:r>
              <w:rPr>
                <w:sz w:val="20"/>
              </w:rPr>
              <w:t>User is configured as the Supervisor of the CSR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(coaching_log.strReportCode: AUDyyyymmdd)</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Launch eCoaching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ins w:id="18" w:author="Huang, Lili" w:date="2023-10-03T13:31:00Z"/>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ins w:id="19" w:author="Huang, Lili" w:date="2023-10-03T13:31:00Z">
              <w:r>
                <w:rPr>
                  <w:sz w:val="20"/>
                </w:rPr>
                <w:t>Verint ID:</w:t>
              </w:r>
            </w:ins>
            <w:ins w:id="20" w:author="Huang, Lili" w:date="2023-10-03T13:32:00Z">
              <w:r>
                <w:rPr>
                  <w:sz w:val="20"/>
                </w:rPr>
                <w:t xml:space="preserve"> {Verint ids}</w:t>
              </w:r>
            </w:ins>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Launch eCoaching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7226EC" w14:paraId="48D6DF8A" w14:textId="77777777" w:rsidTr="009F083E">
        <w:tc>
          <w:tcPr>
            <w:tcW w:w="14508" w:type="dxa"/>
            <w:gridSpan w:val="11"/>
            <w:shd w:val="clear" w:color="auto" w:fill="EAF1DD" w:themeFill="accent3" w:themeFillTint="33"/>
          </w:tcPr>
          <w:p w14:paraId="326ADE17" w14:textId="3AFE1374" w:rsidR="007226EC" w:rsidRDefault="007226EC" w:rsidP="007226EC">
            <w:pPr>
              <w:tabs>
                <w:tab w:val="left" w:pos="360"/>
              </w:tabs>
              <w:rPr>
                <w:sz w:val="20"/>
              </w:rPr>
            </w:pPr>
            <w:r>
              <w:rPr>
                <w:sz w:val="20"/>
              </w:rPr>
              <w:t>Quality MODULE</w:t>
            </w:r>
          </w:p>
        </w:tc>
      </w:tr>
      <w:tr w:rsidR="007226EC" w14:paraId="59F7D749" w14:textId="77777777" w:rsidTr="00C417B1">
        <w:tc>
          <w:tcPr>
            <w:tcW w:w="2268" w:type="dxa"/>
            <w:gridSpan w:val="2"/>
          </w:tcPr>
          <w:p w14:paraId="42BFFEA5" w14:textId="422C41FF" w:rsidR="007226EC" w:rsidRDefault="007226EC" w:rsidP="007226EC">
            <w:pPr>
              <w:tabs>
                <w:tab w:val="left" w:pos="360"/>
              </w:tabs>
              <w:jc w:val="center"/>
              <w:rPr>
                <w:sz w:val="20"/>
              </w:rPr>
            </w:pPr>
            <w:r>
              <w:rPr>
                <w:sz w:val="20"/>
              </w:rPr>
              <w:t>RV-Quality-1</w:t>
            </w:r>
          </w:p>
        </w:tc>
        <w:tc>
          <w:tcPr>
            <w:tcW w:w="3330" w:type="dxa"/>
          </w:tcPr>
          <w:p w14:paraId="5A98CB05" w14:textId="6C355E76" w:rsidR="007226EC" w:rsidRDefault="007226EC" w:rsidP="007226EC">
            <w:pPr>
              <w:tabs>
                <w:tab w:val="left" w:pos="360"/>
              </w:tabs>
              <w:jc w:val="center"/>
              <w:rPr>
                <w:sz w:val="20"/>
              </w:rPr>
            </w:pPr>
            <w:r>
              <w:rPr>
                <w:sz w:val="20"/>
              </w:rPr>
              <w:t xml:space="preserve">User is configured as the Employee of a coaching log at Pending Employee </w:t>
            </w:r>
            <w:r>
              <w:rPr>
                <w:sz w:val="20"/>
              </w:rPr>
              <w:lastRenderedPageBreak/>
              <w:t>Review</w:t>
            </w:r>
          </w:p>
        </w:tc>
        <w:tc>
          <w:tcPr>
            <w:tcW w:w="4185" w:type="dxa"/>
            <w:gridSpan w:val="3"/>
          </w:tcPr>
          <w:p w14:paraId="6C802FDD" w14:textId="2AB28018" w:rsidR="007226EC" w:rsidRDefault="007226EC" w:rsidP="007226EC">
            <w:pPr>
              <w:tabs>
                <w:tab w:val="left" w:pos="360"/>
              </w:tabs>
              <w:jc w:val="center"/>
              <w:rPr>
                <w:sz w:val="20"/>
              </w:rPr>
            </w:pPr>
            <w:r>
              <w:rPr>
                <w:sz w:val="20"/>
              </w:rPr>
              <w:lastRenderedPageBreak/>
              <w:t>Launch eCoaching web application;</w:t>
            </w:r>
          </w:p>
          <w:p w14:paraId="0CB9140B" w14:textId="77777777" w:rsidR="007226EC" w:rsidRDefault="007226EC" w:rsidP="007226EC">
            <w:pPr>
              <w:tabs>
                <w:tab w:val="left" w:pos="360"/>
              </w:tabs>
              <w:jc w:val="center"/>
              <w:rPr>
                <w:sz w:val="20"/>
              </w:rPr>
            </w:pPr>
          </w:p>
          <w:p w14:paraId="3342AD0F" w14:textId="77777777" w:rsidR="007226EC" w:rsidRDefault="007226EC" w:rsidP="007226EC">
            <w:pPr>
              <w:tabs>
                <w:tab w:val="left" w:pos="360"/>
              </w:tabs>
              <w:jc w:val="center"/>
              <w:rPr>
                <w:sz w:val="20"/>
              </w:rPr>
            </w:pPr>
            <w:r>
              <w:rPr>
                <w:sz w:val="20"/>
              </w:rPr>
              <w:lastRenderedPageBreak/>
              <w:t>On My Dashboard page:</w:t>
            </w:r>
          </w:p>
          <w:p w14:paraId="1FF5E1BB" w14:textId="77777777" w:rsidR="007226EC" w:rsidRDefault="007226EC" w:rsidP="007226EC">
            <w:pPr>
              <w:tabs>
                <w:tab w:val="left" w:pos="360"/>
              </w:tabs>
              <w:jc w:val="center"/>
              <w:rPr>
                <w:sz w:val="20"/>
              </w:rPr>
            </w:pPr>
            <w:r>
              <w:rPr>
                <w:sz w:val="20"/>
              </w:rPr>
              <w:t>Click “View My Pending”;</w:t>
            </w:r>
          </w:p>
          <w:p w14:paraId="32B158CE" w14:textId="36E18F23" w:rsidR="007226EC" w:rsidRDefault="007226EC" w:rsidP="007226EC">
            <w:pPr>
              <w:tabs>
                <w:tab w:val="left" w:pos="360"/>
              </w:tabs>
              <w:jc w:val="center"/>
              <w:rPr>
                <w:sz w:val="20"/>
              </w:rPr>
            </w:pPr>
            <w:r>
              <w:rPr>
                <w:sz w:val="20"/>
              </w:rPr>
              <w:t>Click the log.</w:t>
            </w:r>
          </w:p>
        </w:tc>
        <w:tc>
          <w:tcPr>
            <w:tcW w:w="3450" w:type="dxa"/>
            <w:gridSpan w:val="4"/>
          </w:tcPr>
          <w:p w14:paraId="1E758E00" w14:textId="77777777" w:rsidR="007226EC" w:rsidRDefault="007226EC" w:rsidP="007226EC">
            <w:pPr>
              <w:tabs>
                <w:tab w:val="left" w:pos="360"/>
              </w:tabs>
              <w:rPr>
                <w:sz w:val="20"/>
              </w:rPr>
            </w:pPr>
            <w:r>
              <w:rPr>
                <w:sz w:val="20"/>
              </w:rPr>
              <w:lastRenderedPageBreak/>
              <w:t>Pending Employee Review modal displays with desired fields*.</w:t>
            </w:r>
          </w:p>
          <w:p w14:paraId="7A957AC7" w14:textId="77777777" w:rsidR="007226EC" w:rsidRDefault="007226EC" w:rsidP="007226EC">
            <w:pPr>
              <w:tabs>
                <w:tab w:val="left" w:pos="360"/>
              </w:tabs>
              <w:rPr>
                <w:sz w:val="20"/>
              </w:rPr>
            </w:pPr>
          </w:p>
          <w:p w14:paraId="58A8B671" w14:textId="0003282B" w:rsidR="007226EC" w:rsidRDefault="007226EC" w:rsidP="007226EC">
            <w:pPr>
              <w:tabs>
                <w:tab w:val="left" w:pos="360"/>
              </w:tabs>
              <w:rPr>
                <w:sz w:val="20"/>
              </w:rPr>
            </w:pPr>
            <w:r>
              <w:rPr>
                <w:sz w:val="20"/>
              </w:rPr>
              <w:t>PFD date displays in the left pane.</w:t>
            </w:r>
          </w:p>
        </w:tc>
        <w:tc>
          <w:tcPr>
            <w:tcW w:w="1275" w:type="dxa"/>
          </w:tcPr>
          <w:p w14:paraId="5B6C048F" w14:textId="129AAFF1" w:rsidR="007226EC" w:rsidRDefault="007226EC" w:rsidP="007226EC">
            <w:pPr>
              <w:tabs>
                <w:tab w:val="left" w:pos="360"/>
              </w:tabs>
              <w:jc w:val="center"/>
              <w:rPr>
                <w:sz w:val="20"/>
              </w:rPr>
            </w:pPr>
            <w:r>
              <w:rPr>
                <w:sz w:val="20"/>
              </w:rPr>
              <w:lastRenderedPageBreak/>
              <w:t>P</w:t>
            </w:r>
          </w:p>
        </w:tc>
      </w:tr>
      <w:tr w:rsidR="00286593" w14:paraId="13F2F0D8" w14:textId="77777777" w:rsidTr="00C558D7">
        <w:tc>
          <w:tcPr>
            <w:tcW w:w="14508" w:type="dxa"/>
            <w:gridSpan w:val="11"/>
            <w:shd w:val="clear" w:color="auto" w:fill="FDE9D9" w:themeFill="accent6" w:themeFillTint="33"/>
          </w:tcPr>
          <w:p w14:paraId="7D251DBE" w14:textId="3847D435" w:rsidR="00286593" w:rsidRDefault="000E71D1" w:rsidP="00C558D7">
            <w:pPr>
              <w:tabs>
                <w:tab w:val="left" w:pos="360"/>
              </w:tabs>
              <w:rPr>
                <w:sz w:val="20"/>
              </w:rPr>
            </w:pPr>
            <w:r>
              <w:rPr>
                <w:sz w:val="20"/>
              </w:rPr>
              <w:t xml:space="preserve">Display Issue: </w:t>
            </w:r>
            <w:r w:rsidR="00286593">
              <w:rPr>
                <w:sz w:val="20"/>
              </w:rPr>
              <w:t>&lt;script, &lt;form, &lt;invalidhtmltag&gt;</w:t>
            </w:r>
          </w:p>
        </w:tc>
      </w:tr>
      <w:tr w:rsidR="007226EC" w14:paraId="182C8931" w14:textId="77777777" w:rsidTr="00C417B1">
        <w:tc>
          <w:tcPr>
            <w:tcW w:w="2268" w:type="dxa"/>
            <w:gridSpan w:val="2"/>
          </w:tcPr>
          <w:p w14:paraId="0D9EE8F0" w14:textId="0B6B731D" w:rsidR="007226EC" w:rsidRDefault="000E71D1" w:rsidP="007226EC">
            <w:pPr>
              <w:tabs>
                <w:tab w:val="left" w:pos="360"/>
              </w:tabs>
              <w:jc w:val="center"/>
              <w:rPr>
                <w:sz w:val="20"/>
              </w:rPr>
            </w:pPr>
            <w:r>
              <w:rPr>
                <w:sz w:val="20"/>
              </w:rPr>
              <w:t>RV-Display-Issue-1</w:t>
            </w:r>
          </w:p>
        </w:tc>
        <w:tc>
          <w:tcPr>
            <w:tcW w:w="3330" w:type="dxa"/>
          </w:tcPr>
          <w:p w14:paraId="1B2A45F8" w14:textId="4A020151" w:rsidR="003D4293" w:rsidRDefault="003D4293" w:rsidP="007226EC">
            <w:pPr>
              <w:tabs>
                <w:tab w:val="left" w:pos="360"/>
              </w:tabs>
              <w:jc w:val="center"/>
              <w:rPr>
                <w:sz w:val="20"/>
              </w:rPr>
            </w:pPr>
            <w:r>
              <w:rPr>
                <w:sz w:val="20"/>
              </w:rPr>
              <w:t>User is configure</w:t>
            </w:r>
            <w:r w:rsidR="00F961DB">
              <w:rPr>
                <w:sz w:val="20"/>
              </w:rPr>
              <w:t>d</w:t>
            </w:r>
            <w:r>
              <w:rPr>
                <w:sz w:val="20"/>
              </w:rPr>
              <w:t xml:space="preserve"> as a HR</w:t>
            </w:r>
          </w:p>
          <w:p w14:paraId="6B53D8FD" w14:textId="77777777" w:rsidR="003D4293" w:rsidRDefault="003D4293" w:rsidP="007226EC">
            <w:pPr>
              <w:tabs>
                <w:tab w:val="left" w:pos="360"/>
              </w:tabs>
              <w:jc w:val="center"/>
              <w:rPr>
                <w:sz w:val="20"/>
              </w:rPr>
            </w:pPr>
          </w:p>
          <w:p w14:paraId="662B4F42" w14:textId="32E4EEB7" w:rsidR="007226EC" w:rsidRDefault="001A647A" w:rsidP="007226EC">
            <w:pPr>
              <w:tabs>
                <w:tab w:val="left" w:pos="360"/>
              </w:tabs>
              <w:jc w:val="center"/>
              <w:rPr>
                <w:sz w:val="20"/>
              </w:rPr>
            </w:pPr>
            <w:r>
              <w:rPr>
                <w:sz w:val="20"/>
              </w:rPr>
              <w:t>Locate a coaching</w:t>
            </w:r>
            <w:r w:rsidR="00097F11">
              <w:rPr>
                <w:sz w:val="20"/>
              </w:rPr>
              <w:t xml:space="preserve"> or warning</w:t>
            </w:r>
            <w:r>
              <w:rPr>
                <w:sz w:val="20"/>
              </w:rPr>
              <w:t xml:space="preserve"> log in database and update the description to have the following:</w:t>
            </w:r>
          </w:p>
          <w:p w14:paraId="31061FC3" w14:textId="77777777" w:rsidR="001A647A" w:rsidRDefault="001A647A" w:rsidP="007226EC">
            <w:pPr>
              <w:tabs>
                <w:tab w:val="left" w:pos="360"/>
              </w:tabs>
              <w:jc w:val="center"/>
              <w:rPr>
                <w:sz w:val="20"/>
              </w:rPr>
            </w:pPr>
            <w:r>
              <w:rPr>
                <w:sz w:val="20"/>
              </w:rPr>
              <w:t>&amp;lt;script</w:t>
            </w:r>
          </w:p>
          <w:p w14:paraId="7B3AA762" w14:textId="77777777" w:rsidR="001A647A" w:rsidRDefault="001A647A" w:rsidP="007226EC">
            <w:pPr>
              <w:tabs>
                <w:tab w:val="left" w:pos="360"/>
              </w:tabs>
              <w:jc w:val="center"/>
              <w:rPr>
                <w:sz w:val="20"/>
              </w:rPr>
            </w:pPr>
            <w:r>
              <w:rPr>
                <w:sz w:val="20"/>
              </w:rPr>
              <w:t>&amp;lt;form</w:t>
            </w:r>
          </w:p>
          <w:p w14:paraId="245B02DA" w14:textId="65413DE2" w:rsidR="001A647A" w:rsidRDefault="001A647A" w:rsidP="007226EC">
            <w:pPr>
              <w:tabs>
                <w:tab w:val="left" w:pos="360"/>
              </w:tabs>
              <w:jc w:val="center"/>
              <w:rPr>
                <w:sz w:val="20"/>
              </w:rPr>
            </w:pPr>
            <w:r>
              <w:rPr>
                <w:sz w:val="20"/>
              </w:rPr>
              <w:t>&amp;lt;invalidhtmltab&amp;</w:t>
            </w:r>
            <w:r w:rsidR="003D4293">
              <w:rPr>
                <w:sz w:val="20"/>
              </w:rPr>
              <w:t>gt;</w:t>
            </w:r>
          </w:p>
        </w:tc>
        <w:tc>
          <w:tcPr>
            <w:tcW w:w="4185" w:type="dxa"/>
            <w:gridSpan w:val="3"/>
          </w:tcPr>
          <w:p w14:paraId="7B2B8C48" w14:textId="77777777" w:rsidR="003D4293" w:rsidRDefault="003D4293" w:rsidP="003D4293">
            <w:pPr>
              <w:tabs>
                <w:tab w:val="left" w:pos="360"/>
              </w:tabs>
              <w:jc w:val="center"/>
              <w:rPr>
                <w:sz w:val="20"/>
              </w:rPr>
            </w:pPr>
            <w:r>
              <w:rPr>
                <w:sz w:val="20"/>
              </w:rPr>
              <w:t>Launch eCoaching web application;</w:t>
            </w:r>
          </w:p>
          <w:p w14:paraId="49C96EDC" w14:textId="77777777" w:rsidR="007226EC" w:rsidRDefault="007226EC" w:rsidP="007226EC">
            <w:pPr>
              <w:tabs>
                <w:tab w:val="left" w:pos="360"/>
              </w:tabs>
              <w:jc w:val="center"/>
              <w:rPr>
                <w:sz w:val="20"/>
              </w:rPr>
            </w:pPr>
          </w:p>
          <w:p w14:paraId="7E99FC5D" w14:textId="77777777" w:rsidR="003D4293" w:rsidRDefault="003D4293" w:rsidP="007226EC">
            <w:pPr>
              <w:tabs>
                <w:tab w:val="left" w:pos="360"/>
              </w:tabs>
              <w:jc w:val="center"/>
              <w:rPr>
                <w:sz w:val="20"/>
              </w:rPr>
            </w:pPr>
          </w:p>
          <w:p w14:paraId="04627F11" w14:textId="77777777" w:rsidR="003D4293" w:rsidRDefault="003D4293" w:rsidP="007226EC">
            <w:pPr>
              <w:tabs>
                <w:tab w:val="left" w:pos="360"/>
              </w:tabs>
              <w:jc w:val="center"/>
              <w:rPr>
                <w:sz w:val="20"/>
              </w:rPr>
            </w:pPr>
            <w:r>
              <w:rPr>
                <w:sz w:val="20"/>
              </w:rPr>
              <w:t>On Historical Dashboard:</w:t>
            </w:r>
          </w:p>
          <w:p w14:paraId="1835EE66" w14:textId="77777777" w:rsidR="003D4293" w:rsidRDefault="003D4293" w:rsidP="007226EC">
            <w:pPr>
              <w:tabs>
                <w:tab w:val="left" w:pos="360"/>
              </w:tabs>
              <w:jc w:val="center"/>
              <w:rPr>
                <w:sz w:val="20"/>
              </w:rPr>
            </w:pPr>
            <w:r>
              <w:rPr>
                <w:sz w:val="20"/>
              </w:rPr>
              <w:t>Search for the log;</w:t>
            </w:r>
          </w:p>
          <w:p w14:paraId="5289197F" w14:textId="3B9F2712" w:rsidR="003D4293" w:rsidRDefault="003D4293" w:rsidP="007226EC">
            <w:pPr>
              <w:tabs>
                <w:tab w:val="left" w:pos="360"/>
              </w:tabs>
              <w:jc w:val="center"/>
              <w:rPr>
                <w:sz w:val="20"/>
              </w:rPr>
            </w:pPr>
            <w:r>
              <w:rPr>
                <w:sz w:val="20"/>
              </w:rPr>
              <w:t>Click the log.</w:t>
            </w:r>
          </w:p>
        </w:tc>
        <w:tc>
          <w:tcPr>
            <w:tcW w:w="3450" w:type="dxa"/>
            <w:gridSpan w:val="4"/>
          </w:tcPr>
          <w:p w14:paraId="70A3EEBB" w14:textId="5AAA13EC" w:rsidR="007226EC" w:rsidRDefault="003D4293" w:rsidP="007226EC">
            <w:pPr>
              <w:tabs>
                <w:tab w:val="left" w:pos="360"/>
              </w:tabs>
              <w:rPr>
                <w:sz w:val="20"/>
              </w:rPr>
            </w:pPr>
            <w:r>
              <w:rPr>
                <w:sz w:val="20"/>
              </w:rPr>
              <w:t>Review modal displays with all the data.</w:t>
            </w:r>
          </w:p>
        </w:tc>
        <w:tc>
          <w:tcPr>
            <w:tcW w:w="1275" w:type="dxa"/>
          </w:tcPr>
          <w:p w14:paraId="5C0A74B7" w14:textId="49CB31FB" w:rsidR="007226EC" w:rsidRDefault="003D4293" w:rsidP="007226EC">
            <w:pPr>
              <w:tabs>
                <w:tab w:val="left" w:pos="360"/>
              </w:tabs>
              <w:jc w:val="center"/>
              <w:rPr>
                <w:sz w:val="20"/>
              </w:rPr>
            </w:pPr>
            <w:r>
              <w:rPr>
                <w:sz w:val="20"/>
              </w:rPr>
              <w:t>P</w:t>
            </w:r>
          </w:p>
        </w:tc>
      </w:tr>
      <w:tr w:rsidR="00286593" w14:paraId="654538FB" w14:textId="77777777" w:rsidTr="00C417B1">
        <w:tc>
          <w:tcPr>
            <w:tcW w:w="2268" w:type="dxa"/>
            <w:gridSpan w:val="2"/>
          </w:tcPr>
          <w:p w14:paraId="00EE1ABF" w14:textId="77777777" w:rsidR="00286593" w:rsidRDefault="00286593" w:rsidP="007226EC">
            <w:pPr>
              <w:tabs>
                <w:tab w:val="left" w:pos="360"/>
              </w:tabs>
              <w:jc w:val="center"/>
              <w:rPr>
                <w:sz w:val="20"/>
              </w:rPr>
            </w:pPr>
          </w:p>
        </w:tc>
        <w:tc>
          <w:tcPr>
            <w:tcW w:w="3330" w:type="dxa"/>
          </w:tcPr>
          <w:p w14:paraId="4984B115" w14:textId="77777777" w:rsidR="00286593" w:rsidRDefault="00286593" w:rsidP="007226EC">
            <w:pPr>
              <w:tabs>
                <w:tab w:val="left" w:pos="360"/>
              </w:tabs>
              <w:jc w:val="center"/>
              <w:rPr>
                <w:sz w:val="20"/>
              </w:rPr>
            </w:pPr>
          </w:p>
        </w:tc>
        <w:tc>
          <w:tcPr>
            <w:tcW w:w="4185" w:type="dxa"/>
            <w:gridSpan w:val="3"/>
          </w:tcPr>
          <w:p w14:paraId="028A461B" w14:textId="77777777" w:rsidR="00286593" w:rsidRDefault="00286593" w:rsidP="007226EC">
            <w:pPr>
              <w:tabs>
                <w:tab w:val="left" w:pos="360"/>
              </w:tabs>
              <w:jc w:val="center"/>
              <w:rPr>
                <w:sz w:val="20"/>
              </w:rPr>
            </w:pPr>
          </w:p>
        </w:tc>
        <w:tc>
          <w:tcPr>
            <w:tcW w:w="3450" w:type="dxa"/>
            <w:gridSpan w:val="4"/>
          </w:tcPr>
          <w:p w14:paraId="0DB01FBA" w14:textId="77777777" w:rsidR="00286593" w:rsidRDefault="00286593" w:rsidP="007226EC">
            <w:pPr>
              <w:tabs>
                <w:tab w:val="left" w:pos="360"/>
              </w:tabs>
              <w:rPr>
                <w:sz w:val="20"/>
              </w:rPr>
            </w:pPr>
          </w:p>
        </w:tc>
        <w:tc>
          <w:tcPr>
            <w:tcW w:w="1275" w:type="dxa"/>
          </w:tcPr>
          <w:p w14:paraId="38BDD29A" w14:textId="77777777" w:rsidR="00286593" w:rsidRDefault="00286593" w:rsidP="007226EC">
            <w:pPr>
              <w:tabs>
                <w:tab w:val="left" w:pos="360"/>
              </w:tabs>
              <w:jc w:val="center"/>
              <w:rPr>
                <w:sz w:val="20"/>
              </w:rPr>
            </w:pPr>
          </w:p>
        </w:tc>
      </w:tr>
      <w:tr w:rsidR="00286593" w14:paraId="326A513C" w14:textId="77777777" w:rsidTr="00C417B1">
        <w:tc>
          <w:tcPr>
            <w:tcW w:w="2268" w:type="dxa"/>
            <w:gridSpan w:val="2"/>
          </w:tcPr>
          <w:p w14:paraId="682C2679" w14:textId="77777777" w:rsidR="00286593" w:rsidRDefault="00286593" w:rsidP="007226EC">
            <w:pPr>
              <w:tabs>
                <w:tab w:val="left" w:pos="360"/>
              </w:tabs>
              <w:jc w:val="center"/>
              <w:rPr>
                <w:sz w:val="20"/>
              </w:rPr>
            </w:pPr>
          </w:p>
        </w:tc>
        <w:tc>
          <w:tcPr>
            <w:tcW w:w="3330" w:type="dxa"/>
          </w:tcPr>
          <w:p w14:paraId="00CCE047" w14:textId="77777777" w:rsidR="00286593" w:rsidRDefault="00286593" w:rsidP="007226EC">
            <w:pPr>
              <w:tabs>
                <w:tab w:val="left" w:pos="360"/>
              </w:tabs>
              <w:jc w:val="center"/>
              <w:rPr>
                <w:sz w:val="20"/>
              </w:rPr>
            </w:pPr>
          </w:p>
        </w:tc>
        <w:tc>
          <w:tcPr>
            <w:tcW w:w="4185" w:type="dxa"/>
            <w:gridSpan w:val="3"/>
          </w:tcPr>
          <w:p w14:paraId="4EC4C1FC" w14:textId="77777777" w:rsidR="00286593" w:rsidRDefault="00286593" w:rsidP="007226EC">
            <w:pPr>
              <w:tabs>
                <w:tab w:val="left" w:pos="360"/>
              </w:tabs>
              <w:jc w:val="center"/>
              <w:rPr>
                <w:sz w:val="20"/>
              </w:rPr>
            </w:pPr>
          </w:p>
        </w:tc>
        <w:tc>
          <w:tcPr>
            <w:tcW w:w="3450" w:type="dxa"/>
            <w:gridSpan w:val="4"/>
          </w:tcPr>
          <w:p w14:paraId="6D52B13E" w14:textId="77777777" w:rsidR="00286593" w:rsidRDefault="00286593" w:rsidP="007226EC">
            <w:pPr>
              <w:tabs>
                <w:tab w:val="left" w:pos="360"/>
              </w:tabs>
              <w:rPr>
                <w:sz w:val="20"/>
              </w:rPr>
            </w:pPr>
          </w:p>
        </w:tc>
        <w:tc>
          <w:tcPr>
            <w:tcW w:w="1275" w:type="dxa"/>
          </w:tcPr>
          <w:p w14:paraId="186694E2" w14:textId="77777777" w:rsidR="00286593" w:rsidRDefault="00286593" w:rsidP="007226EC">
            <w:pPr>
              <w:tabs>
                <w:tab w:val="left" w:pos="360"/>
              </w:tabs>
              <w:jc w:val="center"/>
              <w:rPr>
                <w:sz w:val="20"/>
              </w:rPr>
            </w:pPr>
          </w:p>
        </w:tc>
      </w:tr>
      <w:tr w:rsidR="007226EC" w14:paraId="43041AE0" w14:textId="77777777" w:rsidTr="00C417B1">
        <w:tc>
          <w:tcPr>
            <w:tcW w:w="2268" w:type="dxa"/>
            <w:gridSpan w:val="2"/>
          </w:tcPr>
          <w:p w14:paraId="4F4A1264" w14:textId="77777777" w:rsidR="007226EC" w:rsidRDefault="007226EC" w:rsidP="007226EC">
            <w:pPr>
              <w:tabs>
                <w:tab w:val="left" w:pos="360"/>
              </w:tabs>
              <w:jc w:val="center"/>
              <w:rPr>
                <w:sz w:val="20"/>
              </w:rPr>
            </w:pPr>
          </w:p>
        </w:tc>
        <w:tc>
          <w:tcPr>
            <w:tcW w:w="3330" w:type="dxa"/>
          </w:tcPr>
          <w:p w14:paraId="67B05440" w14:textId="77777777" w:rsidR="007226EC" w:rsidRDefault="007226EC" w:rsidP="007226EC">
            <w:pPr>
              <w:tabs>
                <w:tab w:val="left" w:pos="360"/>
              </w:tabs>
              <w:jc w:val="center"/>
              <w:rPr>
                <w:sz w:val="20"/>
              </w:rPr>
            </w:pPr>
          </w:p>
        </w:tc>
        <w:tc>
          <w:tcPr>
            <w:tcW w:w="4185" w:type="dxa"/>
            <w:gridSpan w:val="3"/>
          </w:tcPr>
          <w:p w14:paraId="729D17DA" w14:textId="77777777" w:rsidR="007226EC" w:rsidRDefault="007226EC" w:rsidP="007226EC">
            <w:pPr>
              <w:tabs>
                <w:tab w:val="left" w:pos="360"/>
              </w:tabs>
              <w:jc w:val="center"/>
              <w:rPr>
                <w:sz w:val="20"/>
              </w:rPr>
            </w:pPr>
          </w:p>
        </w:tc>
        <w:tc>
          <w:tcPr>
            <w:tcW w:w="3450" w:type="dxa"/>
            <w:gridSpan w:val="4"/>
          </w:tcPr>
          <w:p w14:paraId="0FA90906" w14:textId="77777777" w:rsidR="007226EC" w:rsidRDefault="007226EC" w:rsidP="007226EC">
            <w:pPr>
              <w:tabs>
                <w:tab w:val="left" w:pos="360"/>
              </w:tabs>
              <w:rPr>
                <w:sz w:val="20"/>
              </w:rPr>
            </w:pPr>
          </w:p>
        </w:tc>
        <w:tc>
          <w:tcPr>
            <w:tcW w:w="1275" w:type="dxa"/>
          </w:tcPr>
          <w:p w14:paraId="62CBE459" w14:textId="77777777" w:rsidR="007226EC" w:rsidRDefault="007226EC" w:rsidP="007226EC">
            <w:pPr>
              <w:tabs>
                <w:tab w:val="left" w:pos="360"/>
              </w:tabs>
              <w:jc w:val="center"/>
              <w:rPr>
                <w:sz w:val="20"/>
              </w:rPr>
            </w:pPr>
          </w:p>
        </w:tc>
      </w:tr>
      <w:tr w:rsidR="007226EC"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7226EC" w:rsidRDefault="007226EC" w:rsidP="007226EC">
            <w:pPr>
              <w:tabs>
                <w:tab w:val="left" w:pos="360"/>
                <w:tab w:val="left" w:leader="underscore" w:pos="4590"/>
                <w:tab w:val="left" w:pos="5760"/>
                <w:tab w:val="left" w:leader="underscore" w:pos="6840"/>
              </w:tabs>
              <w:jc w:val="center"/>
              <w:rPr>
                <w:sz w:val="20"/>
              </w:rPr>
            </w:pPr>
          </w:p>
          <w:p w14:paraId="34DDE6B8" w14:textId="32255905" w:rsidR="007226EC" w:rsidRPr="00B00B50" w:rsidRDefault="00B65C16" w:rsidP="007226EC">
            <w:pPr>
              <w:tabs>
                <w:tab w:val="left" w:pos="360"/>
                <w:tab w:val="left" w:leader="underscore" w:pos="4590"/>
                <w:tab w:val="left" w:pos="5760"/>
                <w:tab w:val="left" w:leader="underscore" w:pos="6840"/>
              </w:tabs>
              <w:jc w:val="center"/>
              <w:rPr>
                <w:sz w:val="20"/>
              </w:rPr>
            </w:pPr>
            <w:r>
              <w:rPr>
                <w:sz w:val="20"/>
              </w:rPr>
              <w:t>04</w:t>
            </w:r>
            <w:r w:rsidR="007226EC">
              <w:rPr>
                <w:sz w:val="20"/>
              </w:rPr>
              <w:t>/</w:t>
            </w:r>
            <w:r>
              <w:rPr>
                <w:sz w:val="20"/>
              </w:rPr>
              <w:t>10</w:t>
            </w:r>
            <w:r w:rsidR="007226EC">
              <w:rPr>
                <w:sz w:val="20"/>
              </w:rPr>
              <w:t>/202</w:t>
            </w:r>
            <w:r>
              <w:rPr>
                <w:sz w:val="20"/>
              </w:rPr>
              <w:t>3</w:t>
            </w:r>
          </w:p>
        </w:tc>
        <w:tc>
          <w:tcPr>
            <w:tcW w:w="1275" w:type="dxa"/>
          </w:tcPr>
          <w:p w14:paraId="4F51ABAF" w14:textId="13D7B1C8" w:rsidR="007226EC" w:rsidRPr="00B00B50" w:rsidRDefault="007226EC" w:rsidP="007226EC"/>
        </w:tc>
        <w:tc>
          <w:tcPr>
            <w:tcW w:w="1275" w:type="dxa"/>
          </w:tcPr>
          <w:p w14:paraId="0B342800" w14:textId="2E4E7B29" w:rsidR="007226EC" w:rsidRPr="00B00B50" w:rsidRDefault="007226EC" w:rsidP="007226EC"/>
        </w:tc>
      </w:tr>
      <w:tr w:rsidR="007226EC"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7226EC" w:rsidRPr="00B00B50" w:rsidRDefault="007226EC" w:rsidP="007226EC">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7288" w14:textId="77777777" w:rsidR="005A2F0F" w:rsidRDefault="005A2F0F">
      <w:r>
        <w:separator/>
      </w:r>
    </w:p>
  </w:endnote>
  <w:endnote w:type="continuationSeparator" w:id="0">
    <w:p w14:paraId="3FF790BB" w14:textId="77777777" w:rsidR="005A2F0F" w:rsidRDefault="005A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1A4D"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4A6D" w14:textId="77777777" w:rsidR="005A2F0F" w:rsidRDefault="005A2F0F">
      <w:r>
        <w:separator/>
      </w:r>
    </w:p>
  </w:footnote>
  <w:footnote w:type="continuationSeparator" w:id="0">
    <w:p w14:paraId="4565B389" w14:textId="77777777" w:rsidR="005A2F0F" w:rsidRDefault="005A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D7161"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5767"/>
    <w:rsid w:val="00036DF9"/>
    <w:rsid w:val="0004044E"/>
    <w:rsid w:val="00040EF6"/>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856"/>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3393"/>
    <w:rsid w:val="001B3CE7"/>
    <w:rsid w:val="001B564B"/>
    <w:rsid w:val="001B718C"/>
    <w:rsid w:val="001C471C"/>
    <w:rsid w:val="001C4BF1"/>
    <w:rsid w:val="001C57E4"/>
    <w:rsid w:val="001C6009"/>
    <w:rsid w:val="001D0C73"/>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04B"/>
    <w:rsid w:val="004B0A6D"/>
    <w:rsid w:val="004B182F"/>
    <w:rsid w:val="004B492A"/>
    <w:rsid w:val="004B6F4F"/>
    <w:rsid w:val="004B74A9"/>
    <w:rsid w:val="004B7AD1"/>
    <w:rsid w:val="004C1070"/>
    <w:rsid w:val="004C3B8A"/>
    <w:rsid w:val="004C3CCF"/>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2F0F"/>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87DC5"/>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1F4B"/>
    <w:rsid w:val="00852E84"/>
    <w:rsid w:val="00853F99"/>
    <w:rsid w:val="00854578"/>
    <w:rsid w:val="00856233"/>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13FB"/>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C70BF"/>
    <w:rsid w:val="00AD104F"/>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7A63"/>
    <w:rsid w:val="00B51712"/>
    <w:rsid w:val="00B51B1B"/>
    <w:rsid w:val="00B54F49"/>
    <w:rsid w:val="00B55676"/>
    <w:rsid w:val="00B5620C"/>
    <w:rsid w:val="00B565A8"/>
    <w:rsid w:val="00B56652"/>
    <w:rsid w:val="00B577E4"/>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5F05"/>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8334</TotalTime>
  <Pages>15</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970</cp:revision>
  <cp:lastPrinted>2000-07-13T17:13:00Z</cp:lastPrinted>
  <dcterms:created xsi:type="dcterms:W3CDTF">2015-08-25T18:14:00Z</dcterms:created>
  <dcterms:modified xsi:type="dcterms:W3CDTF">2023-10-03T18:32:00Z</dcterms:modified>
</cp:coreProperties>
</file>