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</w:t>
            </w:r>
            <w:r>
              <w:rPr>
                <w:sz w:val="20"/>
              </w:rPr>
              <w:t xml:space="preserve"> QNS cases for both CSR and Supervisor</w:t>
            </w:r>
            <w:r>
              <w:rPr>
                <w:sz w:val="20"/>
              </w:rPr>
              <w:t>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77777777" w:rsidR="006363DA" w:rsidRDefault="006363DA" w:rsidP="007D29C0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7224" w:type="dxa"/>
          </w:tcPr>
          <w:p w14:paraId="3C6E1599" w14:textId="77777777" w:rsidR="006363DA" w:rsidRDefault="006363DA" w:rsidP="003B3E9F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2790" w:type="dxa"/>
          </w:tcPr>
          <w:p w14:paraId="663F5BC2" w14:textId="77777777" w:rsidR="006363DA" w:rsidRDefault="006363DA" w:rsidP="002D2D88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77777777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02E782BA" w14:textId="611DB74B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Review page displays allowing user to enter comments/feedback and acknowledge that the user has reviewed </w:t>
            </w:r>
            <w:r>
              <w:rPr>
                <w:sz w:val="20"/>
              </w:rPr>
              <w:lastRenderedPageBreak/>
              <w:t>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640DF0CE" w14:textId="2D2CB688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69FCB40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1E943416" w14:textId="77777777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summary, coaching notes, supervisor review information, </w:t>
            </w:r>
            <w:r>
              <w:rPr>
                <w:sz w:val="20"/>
              </w:rPr>
              <w:lastRenderedPageBreak/>
              <w:t>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4FBEDBF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09/</w:t>
            </w:r>
            <w:r w:rsidR="00C9048E">
              <w:rPr>
                <w:sz w:val="20"/>
              </w:rPr>
              <w:t>21</w:t>
            </w:r>
            <w:r>
              <w:rPr>
                <w:sz w:val="20"/>
              </w:rPr>
              <w:t>/2021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7"/>
      <w:footerReference w:type="even" r:id="rId18"/>
      <w:footerReference w:type="default" r:id="rId19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BC35" w14:textId="77777777" w:rsidR="00B749F7" w:rsidRDefault="00B749F7">
      <w:r>
        <w:separator/>
      </w:r>
    </w:p>
  </w:endnote>
  <w:endnote w:type="continuationSeparator" w:id="0">
    <w:p w14:paraId="5AEB4514" w14:textId="77777777" w:rsidR="00B749F7" w:rsidRDefault="00B7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0E2B0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EB05" w14:textId="77777777" w:rsidR="00B749F7" w:rsidRDefault="00B749F7">
      <w:r>
        <w:separator/>
      </w:r>
    </w:p>
  </w:footnote>
  <w:footnote w:type="continuationSeparator" w:id="0">
    <w:p w14:paraId="03E314B2" w14:textId="77777777" w:rsidR="00B749F7" w:rsidRDefault="00B74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C9C84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5363"/>
    <w:rsid w:val="00335596"/>
    <w:rsid w:val="003355B5"/>
    <w:rsid w:val="00336EE8"/>
    <w:rsid w:val="003405CF"/>
    <w:rsid w:val="00341485"/>
    <w:rsid w:val="003415F2"/>
    <w:rsid w:val="003419E4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EBA"/>
    <w:rsid w:val="004E14CA"/>
    <w:rsid w:val="004E3442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5E8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720C"/>
    <w:rsid w:val="00657630"/>
    <w:rsid w:val="00657BEB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EE7"/>
    <w:rsid w:val="00955EE5"/>
    <w:rsid w:val="00956021"/>
    <w:rsid w:val="009562F9"/>
    <w:rsid w:val="00956F66"/>
    <w:rsid w:val="00957825"/>
    <w:rsid w:val="009578FD"/>
    <w:rsid w:val="009611C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225"/>
    <w:rsid w:val="00DF3304"/>
    <w:rsid w:val="00DF3EA6"/>
    <w:rsid w:val="00DF40EC"/>
    <w:rsid w:val="00DF4D7A"/>
    <w:rsid w:val="00DF5B7A"/>
    <w:rsid w:val="00DF6108"/>
    <w:rsid w:val="00DF6156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8340</TotalTime>
  <Pages>9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1132</cp:revision>
  <cp:lastPrinted>2000-07-13T17:13:00Z</cp:lastPrinted>
  <dcterms:created xsi:type="dcterms:W3CDTF">2015-08-25T18:14:00Z</dcterms:created>
  <dcterms:modified xsi:type="dcterms:W3CDTF">2021-09-28T20:52:00Z</dcterms:modified>
</cp:coreProperties>
</file>