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5A4" w:rsidRDefault="008E57F8" w:rsidP="00667D39">
      <w:pPr>
        <w:pStyle w:val="Heading1"/>
        <w:spacing w:before="0" w:after="0"/>
        <w:jc w:val="center"/>
        <w:rPr>
          <w:rFonts w:ascii="Arial" w:hAnsi="Arial"/>
        </w:rPr>
      </w:pPr>
      <w:r>
        <w:rPr>
          <w:rFonts w:ascii="Arial" w:hAnsi="Arial"/>
        </w:rPr>
        <w:t>Call Center Reporting Meeting</w:t>
      </w:r>
    </w:p>
    <w:p w:rsidR="004A75A4" w:rsidRPr="00D929C2" w:rsidRDefault="004A75A4" w:rsidP="00D929C2"/>
    <w:p w:rsidR="004A75A4" w:rsidRPr="00B84697" w:rsidRDefault="004A75A4" w:rsidP="00B84697"/>
    <w:p w:rsidR="004A75A4" w:rsidRDefault="004A75A4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Date: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E57F8">
        <w:rPr>
          <w:rFonts w:ascii="Arial" w:hAnsi="Arial" w:cs="Arial"/>
        </w:rPr>
        <w:t>January 15, 2013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4A75A4" w:rsidRDefault="004A75A4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Time: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</w:t>
      </w:r>
      <w:r w:rsidR="005854E9">
        <w:rPr>
          <w:rFonts w:ascii="Arial" w:hAnsi="Arial" w:cs="Arial"/>
        </w:rPr>
        <w:t>0</w:t>
      </w:r>
      <w:r>
        <w:rPr>
          <w:rFonts w:ascii="Arial" w:hAnsi="Arial" w:cs="Arial"/>
        </w:rPr>
        <w:t>:</w:t>
      </w:r>
      <w:r w:rsidR="005854E9">
        <w:rPr>
          <w:rFonts w:ascii="Arial" w:hAnsi="Arial" w:cs="Arial"/>
        </w:rPr>
        <w:t>00a</w:t>
      </w:r>
      <w:r>
        <w:rPr>
          <w:rFonts w:ascii="Arial" w:hAnsi="Arial" w:cs="Arial"/>
        </w:rPr>
        <w:t xml:space="preserve">m – </w:t>
      </w:r>
      <w:r w:rsidR="005854E9">
        <w:rPr>
          <w:rFonts w:ascii="Arial" w:hAnsi="Arial" w:cs="Arial"/>
        </w:rPr>
        <w:t>12</w:t>
      </w:r>
      <w:r>
        <w:rPr>
          <w:rFonts w:ascii="Arial" w:hAnsi="Arial" w:cs="Arial"/>
        </w:rPr>
        <w:t>:00pm</w:t>
      </w:r>
    </w:p>
    <w:p w:rsidR="004A75A4" w:rsidRPr="00667D39" w:rsidRDefault="004A75A4" w:rsidP="00667D39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r>
        <w:rPr>
          <w:rFonts w:ascii="Arial" w:hAnsi="Arial" w:cs="Arial"/>
        </w:rPr>
        <w:tab/>
        <w:t xml:space="preserve">Southfield, </w:t>
      </w:r>
      <w:r w:rsidR="00095DE4">
        <w:rPr>
          <w:rFonts w:ascii="Arial" w:hAnsi="Arial" w:cs="Arial"/>
        </w:rPr>
        <w:t xml:space="preserve">Randall’s </w:t>
      </w:r>
      <w:r w:rsidR="008E57F8">
        <w:rPr>
          <w:rFonts w:ascii="Arial" w:hAnsi="Arial" w:cs="Arial"/>
        </w:rPr>
        <w:t>Office</w:t>
      </w:r>
      <w:r w:rsidR="00095DE4">
        <w:rPr>
          <w:rFonts w:ascii="Arial" w:hAnsi="Arial" w:cs="Arial"/>
        </w:rPr>
        <w:t xml:space="preserve"> (Austin)</w:t>
      </w:r>
    </w:p>
    <w:p w:rsidR="004A75A4" w:rsidRPr="00667D39" w:rsidRDefault="004A75A4" w:rsidP="00667D39"/>
    <w:p w:rsidR="004A75A4" w:rsidRDefault="004A75A4">
      <w:pPr>
        <w:rPr>
          <w:rFonts w:ascii="Arial" w:hAnsi="Arial" w:cs="Arial"/>
        </w:rPr>
      </w:pPr>
    </w:p>
    <w:p w:rsidR="004A75A4" w:rsidRPr="0035477D" w:rsidRDefault="004A75A4" w:rsidP="0035477D">
      <w:pPr>
        <w:rPr>
          <w:rFonts w:ascii="Arial" w:hAnsi="Arial" w:cs="Arial"/>
          <w:szCs w:val="20"/>
        </w:rPr>
      </w:pPr>
      <w:r>
        <w:rPr>
          <w:rStyle w:val="Bold10ptChar"/>
          <w:rFonts w:ascii="Arial" w:hAnsi="Arial" w:cs="Arial"/>
          <w:sz w:val="20"/>
        </w:rPr>
        <w:t>Participants:</w:t>
      </w:r>
      <w:r>
        <w:rPr>
          <w:rFonts w:ascii="Arial" w:hAnsi="Arial" w:cs="Arial"/>
        </w:rPr>
        <w:tab/>
      </w:r>
      <w:r>
        <w:rPr>
          <w:rFonts w:ascii="Arial (W1)" w:hAnsi="Arial (W1)" w:cs="Arial"/>
          <w:szCs w:val="20"/>
        </w:rPr>
        <w:sym w:font="Wingdings" w:char="F0FE"/>
      </w:r>
      <w:r w:rsidRPr="0035477D">
        <w:rPr>
          <w:rFonts w:ascii="Arial (W1)" w:hAnsi="Arial (W1)" w:cs="Arial"/>
          <w:szCs w:val="20"/>
        </w:rPr>
        <w:t xml:space="preserve"> </w:t>
      </w:r>
      <w:r>
        <w:rPr>
          <w:rFonts w:ascii="Arial (W1)" w:hAnsi="Arial (W1)" w:cs="Arial"/>
          <w:szCs w:val="20"/>
        </w:rPr>
        <w:t>If p</w:t>
      </w:r>
      <w:r w:rsidRPr="0035477D">
        <w:rPr>
          <w:rFonts w:ascii="Arial (W1)" w:hAnsi="Arial (W1)" w:cs="Arial"/>
          <w:szCs w:val="20"/>
        </w:rPr>
        <w:t xml:space="preserve">articipant </w:t>
      </w:r>
      <w:r>
        <w:rPr>
          <w:rFonts w:ascii="Arial (W1)" w:hAnsi="Arial (W1)" w:cs="Arial"/>
          <w:szCs w:val="20"/>
        </w:rPr>
        <w:t>attended</w:t>
      </w:r>
      <w:r>
        <w:rPr>
          <w:rFonts w:ascii="Arial (W1)" w:hAnsi="Arial (W1)" w:cs="Arial"/>
          <w:szCs w:val="20"/>
        </w:rPr>
        <w:tab/>
      </w:r>
      <w:r>
        <w:rPr>
          <w:rFonts w:ascii="Arial (W1)" w:hAnsi="Arial (W1)" w:cs="Arial"/>
          <w:szCs w:val="20"/>
        </w:rPr>
        <w:tab/>
      </w:r>
      <w:r w:rsidRPr="0035477D">
        <w:rPr>
          <w:rFonts w:ascii="Arial (W1)" w:hAnsi="Arial (W1)" w:cs="Arial"/>
          <w:szCs w:val="20"/>
        </w:rPr>
        <w:sym w:font="Wingdings" w:char="F0A8"/>
      </w:r>
      <w:r w:rsidRPr="0035477D">
        <w:rPr>
          <w:rFonts w:ascii="Arial (W1)" w:hAnsi="Arial (W1)" w:cs="Arial"/>
          <w:szCs w:val="20"/>
        </w:rPr>
        <w:t xml:space="preserve"> </w:t>
      </w:r>
      <w:r>
        <w:rPr>
          <w:rFonts w:ascii="Arial (W1)" w:hAnsi="Arial (W1)" w:cs="Arial"/>
          <w:szCs w:val="20"/>
        </w:rPr>
        <w:t>if p</w:t>
      </w:r>
      <w:r w:rsidRPr="0035477D">
        <w:rPr>
          <w:rFonts w:ascii="Arial (W1)" w:hAnsi="Arial (W1)" w:cs="Arial"/>
          <w:szCs w:val="20"/>
        </w:rPr>
        <w:t xml:space="preserve">articipant </w:t>
      </w:r>
      <w:r>
        <w:rPr>
          <w:rFonts w:ascii="Arial (W1)" w:hAnsi="Arial (W1)" w:cs="Arial"/>
          <w:szCs w:val="20"/>
        </w:rPr>
        <w:t>did not attend</w:t>
      </w:r>
    </w:p>
    <w:p w:rsidR="004A75A4" w:rsidRPr="00083B02" w:rsidRDefault="004A75A4" w:rsidP="0035477D"/>
    <w:tbl>
      <w:tblPr>
        <w:tblW w:w="1020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2550"/>
        <w:gridCol w:w="2550"/>
        <w:gridCol w:w="2551"/>
      </w:tblGrid>
      <w:tr w:rsidR="004A75A4" w:rsidRPr="00083B02" w:rsidTr="00B6146E">
        <w:trPr>
          <w:trHeight w:val="255"/>
        </w:trPr>
        <w:tc>
          <w:tcPr>
            <w:tcW w:w="2550" w:type="dxa"/>
            <w:vAlign w:val="center"/>
          </w:tcPr>
          <w:p w:rsidR="004A75A4" w:rsidRPr="00083B02" w:rsidRDefault="008E57F8" w:rsidP="008E57F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sym w:font="Wingdings 2" w:char="F052"/>
            </w:r>
            <w:r w:rsidR="004A75A4">
              <w:rPr>
                <w:rFonts w:ascii="Arial" w:hAnsi="Arial" w:cs="Arial"/>
                <w:szCs w:val="20"/>
              </w:rPr>
              <w:t xml:space="preserve">  </w:t>
            </w:r>
            <w:r>
              <w:rPr>
                <w:rFonts w:ascii="Arial" w:hAnsi="Arial" w:cs="Arial"/>
                <w:szCs w:val="20"/>
              </w:rPr>
              <w:t xml:space="preserve">Randall </w:t>
            </w:r>
            <w:proofErr w:type="spellStart"/>
            <w:r>
              <w:rPr>
                <w:rFonts w:ascii="Arial" w:hAnsi="Arial" w:cs="Arial"/>
                <w:szCs w:val="20"/>
              </w:rPr>
              <w:t>Riefel</w:t>
            </w:r>
            <w:proofErr w:type="spellEnd"/>
          </w:p>
        </w:tc>
        <w:tc>
          <w:tcPr>
            <w:tcW w:w="2550" w:type="dxa"/>
            <w:vAlign w:val="center"/>
          </w:tcPr>
          <w:p w:rsidR="004A75A4" w:rsidRPr="00083B02" w:rsidRDefault="008E57F8" w:rsidP="008E57F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sym w:font="Wingdings 2" w:char="F052"/>
            </w:r>
            <w:r w:rsidR="004A75A4">
              <w:rPr>
                <w:rFonts w:ascii="Arial" w:hAnsi="Arial" w:cs="Arial"/>
                <w:szCs w:val="20"/>
              </w:rPr>
              <w:t xml:space="preserve">  </w:t>
            </w:r>
            <w:r>
              <w:rPr>
                <w:rFonts w:ascii="Arial" w:hAnsi="Arial" w:cs="Arial"/>
                <w:szCs w:val="20"/>
              </w:rPr>
              <w:t>Ann Russo</w:t>
            </w:r>
          </w:p>
        </w:tc>
        <w:tc>
          <w:tcPr>
            <w:tcW w:w="2550" w:type="dxa"/>
            <w:vAlign w:val="center"/>
          </w:tcPr>
          <w:p w:rsidR="004A75A4" w:rsidRPr="00083B02" w:rsidRDefault="008E57F8" w:rsidP="008E57F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sym w:font="Wingdings 2" w:char="F052"/>
            </w:r>
            <w:r w:rsidR="004A75A4">
              <w:rPr>
                <w:rFonts w:ascii="Arial" w:hAnsi="Arial" w:cs="Arial"/>
                <w:szCs w:val="20"/>
              </w:rPr>
              <w:t xml:space="preserve">  </w:t>
            </w:r>
            <w:proofErr w:type="spellStart"/>
            <w:r>
              <w:rPr>
                <w:rFonts w:ascii="Arial (W1)" w:hAnsi="Arial (W1)" w:cs="Arial"/>
                <w:szCs w:val="20"/>
              </w:rPr>
              <w:t>Oana</w:t>
            </w:r>
            <w:proofErr w:type="spellEnd"/>
            <w:r>
              <w:rPr>
                <w:rFonts w:ascii="Arial (W1)" w:hAnsi="Arial (W1)" w:cs="Arial"/>
                <w:szCs w:val="20"/>
              </w:rPr>
              <w:t xml:space="preserve"> </w:t>
            </w:r>
            <w:proofErr w:type="spellStart"/>
            <w:r>
              <w:rPr>
                <w:rFonts w:ascii="Arial (W1)" w:hAnsi="Arial (W1)" w:cs="Arial"/>
                <w:szCs w:val="20"/>
              </w:rPr>
              <w:t>Cheta</w:t>
            </w:r>
            <w:proofErr w:type="spellEnd"/>
          </w:p>
        </w:tc>
        <w:tc>
          <w:tcPr>
            <w:tcW w:w="2551" w:type="dxa"/>
            <w:vAlign w:val="center"/>
          </w:tcPr>
          <w:p w:rsidR="004A75A4" w:rsidRPr="00083B02" w:rsidRDefault="004A75A4" w:rsidP="0094326E">
            <w:pPr>
              <w:rPr>
                <w:rFonts w:ascii="Arial" w:hAnsi="Arial" w:cs="Arial"/>
                <w:szCs w:val="20"/>
              </w:rPr>
            </w:pPr>
          </w:p>
        </w:tc>
      </w:tr>
      <w:tr w:rsidR="004A75A4" w:rsidRPr="00083B02" w:rsidTr="00B6146E">
        <w:trPr>
          <w:trHeight w:val="255"/>
        </w:trPr>
        <w:tc>
          <w:tcPr>
            <w:tcW w:w="2550" w:type="dxa"/>
            <w:vAlign w:val="center"/>
          </w:tcPr>
          <w:p w:rsidR="004A75A4" w:rsidRPr="00083B02" w:rsidRDefault="008E57F8" w:rsidP="008E57F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sym w:font="Wingdings 2" w:char="F052"/>
            </w:r>
            <w:r w:rsidR="004A75A4">
              <w:rPr>
                <w:rFonts w:ascii="Arial (W1)" w:hAnsi="Arial (W1)" w:cs="Arial"/>
                <w:szCs w:val="20"/>
              </w:rPr>
              <w:t xml:space="preserve">  </w:t>
            </w:r>
            <w:r>
              <w:rPr>
                <w:rFonts w:ascii="Arial (W1)" w:hAnsi="Arial (W1)" w:cs="Arial"/>
                <w:szCs w:val="20"/>
              </w:rPr>
              <w:t>Steve Duffy</w:t>
            </w:r>
          </w:p>
        </w:tc>
        <w:tc>
          <w:tcPr>
            <w:tcW w:w="2550" w:type="dxa"/>
            <w:vAlign w:val="center"/>
          </w:tcPr>
          <w:p w:rsidR="004A75A4" w:rsidRPr="00083B02" w:rsidRDefault="008E57F8" w:rsidP="008E57F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sym w:font="Wingdings 2" w:char="F052"/>
            </w:r>
            <w:r w:rsidR="004A75A4">
              <w:rPr>
                <w:rFonts w:ascii="Arial" w:hAnsi="Arial" w:cs="Arial"/>
                <w:szCs w:val="20"/>
              </w:rPr>
              <w:t xml:space="preserve">  </w:t>
            </w:r>
            <w:r>
              <w:rPr>
                <w:rFonts w:ascii="Arial" w:hAnsi="Arial" w:cs="Arial"/>
                <w:szCs w:val="20"/>
              </w:rPr>
              <w:t>Alton Martin (SPOT)</w:t>
            </w:r>
          </w:p>
        </w:tc>
        <w:tc>
          <w:tcPr>
            <w:tcW w:w="2550" w:type="dxa"/>
            <w:vAlign w:val="center"/>
          </w:tcPr>
          <w:p w:rsidR="004A75A4" w:rsidRPr="00083B02" w:rsidRDefault="008E57F8" w:rsidP="008E57F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sym w:font="Wingdings 2" w:char="F052"/>
            </w:r>
            <w:r w:rsidR="004A75A4">
              <w:rPr>
                <w:rFonts w:ascii="Arial" w:hAnsi="Arial" w:cs="Arial"/>
                <w:szCs w:val="20"/>
              </w:rPr>
              <w:t xml:space="preserve">  </w:t>
            </w:r>
            <w:r>
              <w:rPr>
                <w:rFonts w:ascii="Arial" w:hAnsi="Arial" w:cs="Arial"/>
                <w:szCs w:val="20"/>
              </w:rPr>
              <w:t>Roger Meador (SPOT)</w:t>
            </w:r>
          </w:p>
        </w:tc>
        <w:tc>
          <w:tcPr>
            <w:tcW w:w="2551" w:type="dxa"/>
            <w:vAlign w:val="center"/>
          </w:tcPr>
          <w:p w:rsidR="004A75A4" w:rsidRPr="00083B02" w:rsidRDefault="004A75A4" w:rsidP="0094326E">
            <w:pPr>
              <w:rPr>
                <w:rFonts w:ascii="Arial" w:hAnsi="Arial" w:cs="Arial"/>
                <w:szCs w:val="20"/>
              </w:rPr>
            </w:pPr>
          </w:p>
        </w:tc>
      </w:tr>
    </w:tbl>
    <w:p w:rsidR="004A75A4" w:rsidRPr="0035477D" w:rsidRDefault="004A75A4" w:rsidP="0035477D"/>
    <w:p w:rsidR="004A75A4" w:rsidRPr="0035477D" w:rsidRDefault="004A75A4" w:rsidP="0035477D"/>
    <w:p w:rsidR="004A75A4" w:rsidRDefault="004A75A4">
      <w:r>
        <w:rPr>
          <w:rStyle w:val="Bold10ptChar"/>
          <w:rFonts w:ascii="Arial" w:hAnsi="Arial" w:cs="Arial"/>
          <w:sz w:val="20"/>
        </w:rPr>
        <w:t>Topics of Discussion</w:t>
      </w:r>
    </w:p>
    <w:tbl>
      <w:tblPr>
        <w:tblW w:w="10330" w:type="dxa"/>
        <w:tblBorders>
          <w:top w:val="double" w:sz="6" w:space="0" w:color="5F5F5F"/>
          <w:bottom w:val="double" w:sz="6" w:space="0" w:color="5F5F5F"/>
          <w:insideH w:val="double" w:sz="6" w:space="0" w:color="5F5F5F"/>
        </w:tblBorders>
        <w:tblCellMar>
          <w:top w:w="115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0405"/>
        <w:gridCol w:w="236"/>
      </w:tblGrid>
      <w:tr w:rsidR="004A75A4" w:rsidRPr="00571070" w:rsidTr="002D36DC">
        <w:trPr>
          <w:trHeight w:val="336"/>
        </w:trPr>
        <w:tc>
          <w:tcPr>
            <w:tcW w:w="8341" w:type="dxa"/>
          </w:tcPr>
          <w:p w:rsidR="004A75A4" w:rsidRDefault="004A75A4" w:rsidP="00D929C2">
            <w:pPr>
              <w:pStyle w:val="Heading2"/>
            </w:pPr>
          </w:p>
          <w:p w:rsidR="00F16FB3" w:rsidRDefault="00F16FB3" w:rsidP="00B12829">
            <w:pPr>
              <w:pStyle w:val="ListParagraph"/>
              <w:numPr>
                <w:ilvl w:val="0"/>
                <w:numId w:val="41"/>
              </w:numPr>
            </w:pPr>
            <w:r w:rsidRPr="00B12829">
              <w:t xml:space="preserve">The primary purpose of the meeting was to review artifacts </w:t>
            </w:r>
            <w:r w:rsidR="006F09F8" w:rsidRPr="00B12829">
              <w:t xml:space="preserve">presented by SPOT </w:t>
            </w:r>
            <w:r w:rsidR="00B12829">
              <w:t xml:space="preserve">that represented </w:t>
            </w:r>
            <w:r w:rsidRPr="00B12829">
              <w:t>deliverables from the call center reporting effort</w:t>
            </w:r>
            <w:r w:rsidR="006F09F8" w:rsidRPr="00B12829">
              <w:t xml:space="preserve">. This list of artifacts was not compared with any </w:t>
            </w:r>
            <w:r w:rsidR="00117961">
              <w:t xml:space="preserve">documented </w:t>
            </w:r>
            <w:r w:rsidR="006F09F8" w:rsidRPr="00B12829">
              <w:t xml:space="preserve">contractual SOW. </w:t>
            </w:r>
            <w:r>
              <w:t>A</w:t>
            </w:r>
            <w:r>
              <w:t>rtifacts were review</w:t>
            </w:r>
            <w:r>
              <w:t xml:space="preserve">ed as published to vignette </w:t>
            </w:r>
            <w:r>
              <w:t xml:space="preserve">(in the “Reports” folder) at the at the following location:  </w:t>
            </w:r>
            <w:hyperlink r:id="rId8" w:history="1">
              <w:r w:rsidRPr="00B12829">
                <w:rPr>
                  <w:rStyle w:val="Hyperlink"/>
                  <w:rFonts w:eastAsiaTheme="majorEastAsia"/>
                </w:rPr>
                <w:t>https://maxcs.maxinc.com/gm/folder1.11.527779</w:t>
              </w:r>
            </w:hyperlink>
          </w:p>
          <w:p w:rsidR="00F16FB3" w:rsidRDefault="00F16FB3" w:rsidP="00F16FB3">
            <w:pPr>
              <w:pStyle w:val="ListParagraph"/>
              <w:ind w:left="1080"/>
              <w:rPr>
                <w:b/>
              </w:rPr>
            </w:pPr>
          </w:p>
          <w:p w:rsidR="00582D21" w:rsidRPr="00B12829" w:rsidRDefault="00B12829" w:rsidP="00F16FB3">
            <w:pPr>
              <w:pStyle w:val="ListParagraph"/>
              <w:ind w:left="1080"/>
              <w:rPr>
                <w:b/>
                <w:sz w:val="32"/>
                <w:szCs w:val="32"/>
              </w:rPr>
            </w:pPr>
            <w:r w:rsidRPr="00B12829">
              <w:rPr>
                <w:b/>
                <w:sz w:val="32"/>
                <w:szCs w:val="32"/>
              </w:rPr>
              <w:t xml:space="preserve">Table of </w:t>
            </w:r>
            <w:r w:rsidR="00F16FB3" w:rsidRPr="00B12829">
              <w:rPr>
                <w:b/>
                <w:sz w:val="32"/>
                <w:szCs w:val="32"/>
              </w:rPr>
              <w:t>Artifacts Reviewed</w:t>
            </w:r>
          </w:p>
          <w:p w:rsidR="00F16FB3" w:rsidRDefault="00F16FB3" w:rsidP="00F16FB3">
            <w:pPr>
              <w:pStyle w:val="ListParagraph"/>
              <w:ind w:left="1080"/>
              <w:rPr>
                <w:b/>
              </w:rPr>
            </w:pPr>
          </w:p>
          <w:tbl>
            <w:tblPr>
              <w:tblStyle w:val="TableGrid"/>
              <w:tblW w:w="9085" w:type="dxa"/>
              <w:tblInd w:w="1080" w:type="dxa"/>
              <w:tblLook w:val="04A0" w:firstRow="1" w:lastRow="0" w:firstColumn="1" w:lastColumn="0" w:noHBand="0" w:noVBand="1"/>
            </w:tblPr>
            <w:tblGrid>
              <w:gridCol w:w="1793"/>
              <w:gridCol w:w="2612"/>
              <w:gridCol w:w="2970"/>
              <w:gridCol w:w="1710"/>
            </w:tblGrid>
            <w:tr w:rsidR="001F1D67" w:rsidRPr="00F16FB3" w:rsidTr="00B12829">
              <w:tc>
                <w:tcPr>
                  <w:tcW w:w="1793" w:type="dxa"/>
                  <w:shd w:val="clear" w:color="auto" w:fill="D9D9D9" w:themeFill="background1" w:themeFillShade="D9"/>
                </w:tcPr>
                <w:p w:rsidR="00F16FB3" w:rsidRPr="00F16FB3" w:rsidRDefault="00F16FB3" w:rsidP="00F16FB3">
                  <w:pPr>
                    <w:jc w:val="center"/>
                    <w:rPr>
                      <w:sz w:val="24"/>
                    </w:rPr>
                  </w:pPr>
                  <w:r w:rsidRPr="00F16FB3">
                    <w:rPr>
                      <w:sz w:val="24"/>
                    </w:rPr>
                    <w:t>Artifact</w:t>
                  </w:r>
                </w:p>
              </w:tc>
              <w:tc>
                <w:tcPr>
                  <w:tcW w:w="2612" w:type="dxa"/>
                  <w:shd w:val="clear" w:color="auto" w:fill="D9D9D9" w:themeFill="background1" w:themeFillShade="D9"/>
                </w:tcPr>
                <w:p w:rsidR="00F16FB3" w:rsidRPr="00F16FB3" w:rsidRDefault="00F16FB3" w:rsidP="00F16FB3">
                  <w:pPr>
                    <w:jc w:val="center"/>
                    <w:rPr>
                      <w:sz w:val="24"/>
                    </w:rPr>
                  </w:pPr>
                  <w:r w:rsidRPr="00F16FB3">
                    <w:rPr>
                      <w:sz w:val="24"/>
                    </w:rPr>
                    <w:t>Purpose</w:t>
                  </w:r>
                  <w:r w:rsidR="00B12829">
                    <w:rPr>
                      <w:sz w:val="24"/>
                    </w:rPr>
                    <w:t xml:space="preserve"> (as indicated by SPOT)</w:t>
                  </w:r>
                </w:p>
              </w:tc>
              <w:tc>
                <w:tcPr>
                  <w:tcW w:w="2970" w:type="dxa"/>
                  <w:shd w:val="clear" w:color="auto" w:fill="D9D9D9" w:themeFill="background1" w:themeFillShade="D9"/>
                </w:tcPr>
                <w:p w:rsidR="00F16FB3" w:rsidRPr="00F16FB3" w:rsidRDefault="006E13EC" w:rsidP="00F16FB3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MAXIMUS </w:t>
                  </w:r>
                  <w:r w:rsidR="00F16FB3" w:rsidRPr="00F16FB3">
                    <w:rPr>
                      <w:sz w:val="24"/>
                    </w:rPr>
                    <w:t>Comments</w:t>
                  </w:r>
                </w:p>
              </w:tc>
              <w:tc>
                <w:tcPr>
                  <w:tcW w:w="1710" w:type="dxa"/>
                  <w:shd w:val="clear" w:color="auto" w:fill="D9D9D9" w:themeFill="background1" w:themeFillShade="D9"/>
                </w:tcPr>
                <w:p w:rsidR="00F16FB3" w:rsidRPr="00F16FB3" w:rsidRDefault="00F16FB3" w:rsidP="00F16FB3">
                  <w:pPr>
                    <w:jc w:val="center"/>
                    <w:rPr>
                      <w:sz w:val="24"/>
                    </w:rPr>
                  </w:pPr>
                  <w:r w:rsidRPr="00F16FB3">
                    <w:rPr>
                      <w:sz w:val="24"/>
                    </w:rPr>
                    <w:t>Status</w:t>
                  </w:r>
                  <w:r w:rsidR="006E13EC">
                    <w:rPr>
                      <w:sz w:val="24"/>
                    </w:rPr>
                    <w:t xml:space="preserve"> / Next Steps</w:t>
                  </w:r>
                </w:p>
              </w:tc>
            </w:tr>
            <w:tr w:rsidR="001736BF" w:rsidTr="006F09F8">
              <w:tc>
                <w:tcPr>
                  <w:tcW w:w="1793" w:type="dxa"/>
                </w:tcPr>
                <w:p w:rsidR="00F16FB3" w:rsidRDefault="00F16FB3" w:rsidP="00582D21">
                  <w:r w:rsidRPr="00582D21">
                    <w:rPr>
                      <w:b/>
                    </w:rPr>
                    <w:t>Data Dictionary</w:t>
                  </w:r>
                </w:p>
              </w:tc>
              <w:tc>
                <w:tcPr>
                  <w:tcW w:w="2612" w:type="dxa"/>
                </w:tcPr>
                <w:p w:rsidR="00F16FB3" w:rsidRDefault="00F16FB3" w:rsidP="00F16FB3">
                  <w:r>
                    <w:t>P</w:t>
                  </w:r>
                  <w:r>
                    <w:t>rovide a “metrics” glossary of call center terms and definitions</w:t>
                  </w:r>
                  <w:r>
                    <w:t xml:space="preserve">. </w:t>
                  </w:r>
                </w:p>
              </w:tc>
              <w:tc>
                <w:tcPr>
                  <w:tcW w:w="2970" w:type="dxa"/>
                </w:tcPr>
                <w:p w:rsidR="00F16FB3" w:rsidRDefault="006F09F8" w:rsidP="00582D21">
                  <w:r>
                    <w:t>G</w:t>
                  </w:r>
                  <w:r w:rsidR="00F16FB3">
                    <w:t xml:space="preserve">enerally </w:t>
                  </w:r>
                  <w:r>
                    <w:t xml:space="preserve">a list of </w:t>
                  </w:r>
                  <w:r w:rsidR="00F16FB3">
                    <w:t>standard COPC terms</w:t>
                  </w:r>
                  <w:r>
                    <w:t xml:space="preserve">. </w:t>
                  </w:r>
                  <w:r>
                    <w:t xml:space="preserve">It is not intended to be project (Texas) specific; however some metrics specific to Texas are included.    </w:t>
                  </w:r>
                </w:p>
              </w:tc>
              <w:tc>
                <w:tcPr>
                  <w:tcW w:w="1710" w:type="dxa"/>
                </w:tcPr>
                <w:p w:rsidR="00F16FB3" w:rsidRDefault="00F16FB3" w:rsidP="00582D21">
                  <w:r>
                    <w:t>Accepted</w:t>
                  </w:r>
                </w:p>
              </w:tc>
            </w:tr>
            <w:tr w:rsidR="001736BF" w:rsidTr="006F09F8">
              <w:tc>
                <w:tcPr>
                  <w:tcW w:w="1793" w:type="dxa"/>
                </w:tcPr>
                <w:p w:rsidR="00F16FB3" w:rsidRDefault="006F09F8" w:rsidP="00582D21">
                  <w:r w:rsidRPr="00582D21">
                    <w:rPr>
                      <w:b/>
                    </w:rPr>
                    <w:t>Reporting Service Matrix</w:t>
                  </w:r>
                </w:p>
              </w:tc>
              <w:tc>
                <w:tcPr>
                  <w:tcW w:w="2612" w:type="dxa"/>
                </w:tcPr>
                <w:p w:rsidR="00F16FB3" w:rsidRDefault="006F09F8" w:rsidP="00582D21">
                  <w:r>
                    <w:t>R</w:t>
                  </w:r>
                  <w:r>
                    <w:t>ecommended metrics for e</w:t>
                  </w:r>
                  <w:r w:rsidRPr="00E6360D">
                    <w:t>fficiency/</w:t>
                  </w:r>
                  <w:r>
                    <w:t>p</w:t>
                  </w:r>
                  <w:r w:rsidRPr="00E6360D">
                    <w:t xml:space="preserve">roductivity, </w:t>
                  </w:r>
                  <w:r>
                    <w:t>q</w:t>
                  </w:r>
                  <w:r w:rsidRPr="00E6360D">
                    <w:t xml:space="preserve">uality, and </w:t>
                  </w:r>
                  <w:r>
                    <w:t>r</w:t>
                  </w:r>
                  <w:r w:rsidRPr="00E6360D">
                    <w:t>esponsiveness</w:t>
                  </w:r>
                  <w:r>
                    <w:t xml:space="preserve"> that </w:t>
                  </w:r>
                  <w:r w:rsidRPr="00582D21">
                    <w:rPr>
                      <w:i/>
                    </w:rPr>
                    <w:t xml:space="preserve">should </w:t>
                  </w:r>
                  <w:r>
                    <w:t xml:space="preserve">be monitored organized by </w:t>
                  </w:r>
                  <w:r w:rsidRPr="00E6360D">
                    <w:t>job</w:t>
                  </w:r>
                  <w:r>
                    <w:t xml:space="preserve"> functio</w:t>
                  </w:r>
                  <w:r>
                    <w:t>n as recommended by SPOT</w:t>
                  </w:r>
                </w:p>
              </w:tc>
              <w:tc>
                <w:tcPr>
                  <w:tcW w:w="2970" w:type="dxa"/>
                </w:tcPr>
                <w:p w:rsidR="00F16FB3" w:rsidRDefault="006F09F8" w:rsidP="00582D21">
                  <w:r>
                    <w:t>Not all metrics listed in data</w:t>
                  </w:r>
                  <w:r w:rsidR="002B2EFB">
                    <w:t xml:space="preserve"> dictionary map to who should be </w:t>
                  </w:r>
                  <w:r>
                    <w:t>the intended recipient job class.</w:t>
                  </w:r>
                </w:p>
              </w:tc>
              <w:tc>
                <w:tcPr>
                  <w:tcW w:w="1710" w:type="dxa"/>
                </w:tcPr>
                <w:p w:rsidR="00F16FB3" w:rsidRDefault="006F09F8" w:rsidP="006F09F8">
                  <w:r>
                    <w:t xml:space="preserve">All metrics should be mapped to recommended job class </w:t>
                  </w:r>
                  <w:r w:rsidR="002D3D62">
                    <w:t>or indicate purpose of metric if not consumed by a job class</w:t>
                  </w:r>
                  <w:r>
                    <w:t>.</w:t>
                  </w:r>
                </w:p>
              </w:tc>
            </w:tr>
            <w:tr w:rsidR="001736BF" w:rsidTr="006F09F8">
              <w:tc>
                <w:tcPr>
                  <w:tcW w:w="1793" w:type="dxa"/>
                </w:tcPr>
                <w:p w:rsidR="00F16FB3" w:rsidRDefault="006F09F8" w:rsidP="00582D21">
                  <w:r w:rsidRPr="00582D21">
                    <w:rPr>
                      <w:b/>
                    </w:rPr>
                    <w:t>Metrics, targets and Goals</w:t>
                  </w:r>
                </w:p>
              </w:tc>
              <w:tc>
                <w:tcPr>
                  <w:tcW w:w="2612" w:type="dxa"/>
                </w:tcPr>
                <w:p w:rsidR="00F16FB3" w:rsidRDefault="006F09F8" w:rsidP="00582D21">
                  <w:r>
                    <w:t>L</w:t>
                  </w:r>
                  <w:r>
                    <w:t xml:space="preserve">ist of current targets for Texas call center metrics.  </w:t>
                  </w:r>
                  <w:r w:rsidRPr="00023DAB">
                    <w:t>Metrics are mapped to the to the “reporting service matrix</w:t>
                  </w:r>
                  <w:r>
                    <w:t>.</w:t>
                  </w:r>
                </w:p>
              </w:tc>
              <w:tc>
                <w:tcPr>
                  <w:tcW w:w="2970" w:type="dxa"/>
                </w:tcPr>
                <w:p w:rsidR="00F16FB3" w:rsidRDefault="006F09F8" w:rsidP="00582D21">
                  <w:r>
                    <w:t>List of values provided to SPOT</w:t>
                  </w:r>
                  <w:r w:rsidR="002D3D62">
                    <w:t xml:space="preserve"> by MAXIMUS</w:t>
                  </w:r>
                  <w:r>
                    <w:t xml:space="preserve">. Does not make recommendations on adjusting or revising targets. </w:t>
                  </w:r>
                </w:p>
              </w:tc>
              <w:tc>
                <w:tcPr>
                  <w:tcW w:w="1710" w:type="dxa"/>
                </w:tcPr>
                <w:p w:rsidR="001F1D67" w:rsidRDefault="001F1D67" w:rsidP="00582D21">
                  <w:r>
                    <w:t xml:space="preserve">Accepted </w:t>
                  </w:r>
                </w:p>
                <w:p w:rsidR="00F16FB3" w:rsidRDefault="001F1D67" w:rsidP="00582D21">
                  <w:r>
                    <w:t xml:space="preserve">(Assumes any deliverable on recommended target values not included </w:t>
                  </w:r>
                  <w:r w:rsidR="00187F29">
                    <w:t>in reporting effort</w:t>
                  </w:r>
                  <w:r>
                    <w:t>)</w:t>
                  </w:r>
                  <w:r w:rsidR="002D3D62">
                    <w:t>.</w:t>
                  </w:r>
                </w:p>
              </w:tc>
            </w:tr>
            <w:tr w:rsidR="001736BF" w:rsidTr="006F09F8">
              <w:tc>
                <w:tcPr>
                  <w:tcW w:w="1793" w:type="dxa"/>
                </w:tcPr>
                <w:p w:rsidR="00F16FB3" w:rsidRDefault="002D3D62" w:rsidP="00582D21">
                  <w:r>
                    <w:rPr>
                      <w:b/>
                    </w:rPr>
                    <w:t xml:space="preserve">Example </w:t>
                  </w:r>
                  <w:r w:rsidRPr="00582D21">
                    <w:rPr>
                      <w:b/>
                    </w:rPr>
                    <w:t>Reports</w:t>
                  </w:r>
                </w:p>
              </w:tc>
              <w:tc>
                <w:tcPr>
                  <w:tcW w:w="2612" w:type="dxa"/>
                </w:tcPr>
                <w:p w:rsidR="00F16FB3" w:rsidRDefault="002D3D62" w:rsidP="00582D21">
                  <w:r>
                    <w:t>Provide example report layouts</w:t>
                  </w:r>
                  <w:r w:rsidR="006E13EC">
                    <w:t>. These example r</w:t>
                  </w:r>
                  <w:r w:rsidR="002B2EFB">
                    <w:t xml:space="preserve">eports were not intended </w:t>
                  </w:r>
                  <w:r w:rsidR="006E13EC">
                    <w:lastRenderedPageBreak/>
                    <w:t xml:space="preserve">to represent formal and complete recommendations for standardized call center dashboards and / or reports.  </w:t>
                  </w:r>
                </w:p>
              </w:tc>
              <w:tc>
                <w:tcPr>
                  <w:tcW w:w="2970" w:type="dxa"/>
                </w:tcPr>
                <w:p w:rsidR="00F16FB3" w:rsidRDefault="00B12829" w:rsidP="00582D21">
                  <w:r>
                    <w:lastRenderedPageBreak/>
                    <w:t>Example reports ar</w:t>
                  </w:r>
                  <w:r w:rsidR="006E13EC">
                    <w:t xml:space="preserve">e represented </w:t>
                  </w:r>
                  <w:r>
                    <w:t xml:space="preserve">in a spreadsheet. They </w:t>
                  </w:r>
                  <w:r w:rsidR="006E13EC">
                    <w:t xml:space="preserve">cover agent productivity </w:t>
                  </w:r>
                  <w:r w:rsidR="006E13EC">
                    <w:lastRenderedPageBreak/>
                    <w:t>and efficiency</w:t>
                  </w:r>
                  <w:r w:rsidR="002B2EFB">
                    <w:t xml:space="preserve"> only</w:t>
                  </w:r>
                  <w:r w:rsidR="00117961">
                    <w:t>. Considerable effort remains to define and design standardized dashboards, reporting, and alerts</w:t>
                  </w:r>
                  <w:bookmarkStart w:id="0" w:name="_GoBack"/>
                  <w:bookmarkEnd w:id="0"/>
                  <w:r w:rsidR="00117961">
                    <w:t>.</w:t>
                  </w:r>
                  <w:r w:rsidR="006E13EC">
                    <w:t xml:space="preserve"> </w:t>
                  </w:r>
                </w:p>
              </w:tc>
              <w:tc>
                <w:tcPr>
                  <w:tcW w:w="1710" w:type="dxa"/>
                </w:tcPr>
                <w:p w:rsidR="00F16FB3" w:rsidRDefault="00941F81" w:rsidP="00941F81">
                  <w:r>
                    <w:lastRenderedPageBreak/>
                    <w:t>Determine</w:t>
                  </w:r>
                  <w:r w:rsidR="0097028D">
                    <w:t xml:space="preserve"> if development </w:t>
                  </w:r>
                  <w:r>
                    <w:t xml:space="preserve">if standardized </w:t>
                  </w:r>
                  <w:r>
                    <w:lastRenderedPageBreak/>
                    <w:t xml:space="preserve">dashboards and reports design was part of SOW. </w:t>
                  </w:r>
                  <w:r w:rsidR="002B2EFB">
                    <w:t>Provide more complete report layouts that represent the recommended standardized reporting suite by job class.</w:t>
                  </w:r>
                  <w:r w:rsidR="0097028D">
                    <w:t xml:space="preserve"> </w:t>
                  </w:r>
                </w:p>
              </w:tc>
            </w:tr>
            <w:tr w:rsidR="001736BF" w:rsidTr="006F09F8">
              <w:tc>
                <w:tcPr>
                  <w:tcW w:w="1793" w:type="dxa"/>
                </w:tcPr>
                <w:p w:rsidR="00F16FB3" w:rsidRDefault="002D3D62" w:rsidP="00582D21">
                  <w:r>
                    <w:rPr>
                      <w:b/>
                    </w:rPr>
                    <w:lastRenderedPageBreak/>
                    <w:t>Bu</w:t>
                  </w:r>
                  <w:r>
                    <w:rPr>
                      <w:b/>
                    </w:rPr>
                    <w:t>siness Requirements Document (BRD</w:t>
                  </w:r>
                  <w:r>
                    <w:rPr>
                      <w:b/>
                    </w:rPr>
                    <w:t>)</w:t>
                  </w:r>
                </w:p>
              </w:tc>
              <w:tc>
                <w:tcPr>
                  <w:tcW w:w="2612" w:type="dxa"/>
                </w:tcPr>
                <w:p w:rsidR="00F16FB3" w:rsidRDefault="006E13EC" w:rsidP="00582D21">
                  <w:r>
                    <w:t>P</w:t>
                  </w:r>
                  <w:r>
                    <w:t xml:space="preserve">rovide requirements to </w:t>
                  </w:r>
                  <w:r w:rsidRPr="00604E4E">
                    <w:t>initiate a pilot for agent performance report</w:t>
                  </w:r>
                  <w:r>
                    <w:t>ing</w:t>
                  </w:r>
                  <w:r>
                    <w:t xml:space="preserve"> implementation. Work on dat</w:t>
                  </w:r>
                  <w:r w:rsidR="001736BF">
                    <w:t>a mapping consumed the majority of time in the overall reporting effort and was viewed as the “prime deliverable”.</w:t>
                  </w:r>
                </w:p>
              </w:tc>
              <w:tc>
                <w:tcPr>
                  <w:tcW w:w="2970" w:type="dxa"/>
                </w:tcPr>
                <w:p w:rsidR="00F16FB3" w:rsidRDefault="00DD49F8" w:rsidP="00582D21">
                  <w:r>
                    <w:t>Document is incomplete.</w:t>
                  </w:r>
                  <w:r w:rsidR="001736BF">
                    <w:t xml:space="preserve"> Hence the majority of work done by SPOT in the reporting area is currently un documented.</w:t>
                  </w:r>
                  <w:r>
                    <w:t xml:space="preserve"> </w:t>
                  </w:r>
                  <w:r w:rsidR="001736BF">
                    <w:t xml:space="preserve">Most critical is the </w:t>
                  </w:r>
                  <w:r>
                    <w:t xml:space="preserve">lack of documented mapping of </w:t>
                  </w:r>
                  <w:r w:rsidR="001736BF">
                    <w:t>data sources. Also incomplete is the data model partially developed by SPOT.</w:t>
                  </w:r>
                </w:p>
              </w:tc>
              <w:tc>
                <w:tcPr>
                  <w:tcW w:w="1710" w:type="dxa"/>
                </w:tcPr>
                <w:p w:rsidR="00F16FB3" w:rsidRDefault="00DD49F8" w:rsidP="00582D21">
                  <w:r>
                    <w:t>Complete BRD</w:t>
                  </w:r>
                  <w:r w:rsidR="001736BF">
                    <w:t>.</w:t>
                  </w:r>
                  <w:r>
                    <w:t xml:space="preserve"> </w:t>
                  </w:r>
                  <w:r w:rsidR="001736BF">
                    <w:rPr>
                      <w:b/>
                      <w:i/>
                    </w:rPr>
                    <w:t>P</w:t>
                  </w:r>
                  <w:r w:rsidRPr="001736BF">
                    <w:rPr>
                      <w:b/>
                      <w:i/>
                    </w:rPr>
                    <w:t>articularly critical</w:t>
                  </w:r>
                  <w:r>
                    <w:t xml:space="preserve"> is to provide documented source - &gt; target mapping. </w:t>
                  </w:r>
                  <w:r w:rsidR="001736BF">
                    <w:t>This requires full documentation of how data is mapped from the TX infrastructure source to the (partial completed) data model in the BRD.</w:t>
                  </w:r>
                  <w:r>
                    <w:t xml:space="preserve"> </w:t>
                  </w:r>
                </w:p>
              </w:tc>
            </w:tr>
          </w:tbl>
          <w:p w:rsidR="00582D21" w:rsidRPr="00582D21" w:rsidRDefault="00582D21" w:rsidP="00582D21">
            <w:pPr>
              <w:ind w:left="1080"/>
              <w:rPr>
                <w:b/>
              </w:rPr>
            </w:pPr>
          </w:p>
          <w:p w:rsidR="00582D21" w:rsidRPr="00582D21" w:rsidRDefault="00582D21" w:rsidP="00582D21">
            <w:pPr>
              <w:rPr>
                <w:b/>
              </w:rPr>
            </w:pPr>
          </w:p>
          <w:p w:rsidR="008E57F8" w:rsidRDefault="008E57F8" w:rsidP="008E57F8"/>
          <w:p w:rsidR="008E57F8" w:rsidRPr="008E57F8" w:rsidRDefault="008E57F8" w:rsidP="008E57F8"/>
        </w:tc>
        <w:tc>
          <w:tcPr>
            <w:tcW w:w="1989" w:type="dxa"/>
          </w:tcPr>
          <w:p w:rsidR="004A75A4" w:rsidRPr="00571070" w:rsidRDefault="004A75A4" w:rsidP="00DD0908">
            <w:pPr>
              <w:ind w:left="720"/>
              <w:rPr>
                <w:rFonts w:ascii="Arial" w:hAnsi="Arial" w:cs="Arial"/>
                <w:szCs w:val="20"/>
              </w:rPr>
            </w:pPr>
          </w:p>
        </w:tc>
      </w:tr>
      <w:tr w:rsidR="004A75A4" w:rsidRPr="00571070" w:rsidTr="002D36DC">
        <w:trPr>
          <w:trHeight w:val="512"/>
        </w:trPr>
        <w:tc>
          <w:tcPr>
            <w:tcW w:w="8341" w:type="dxa"/>
          </w:tcPr>
          <w:p w:rsidR="00EB54ED" w:rsidRPr="00582D21" w:rsidRDefault="008A7136" w:rsidP="008A7136">
            <w:pPr>
              <w:rPr>
                <w:b/>
              </w:rPr>
            </w:pPr>
            <w:r w:rsidRPr="00582D21">
              <w:rPr>
                <w:b/>
              </w:rPr>
              <w:lastRenderedPageBreak/>
              <w:t>Action Items:</w:t>
            </w:r>
          </w:p>
          <w:p w:rsidR="008A7136" w:rsidRDefault="008A7136" w:rsidP="008A7136"/>
          <w:p w:rsidR="008A7136" w:rsidRDefault="00E97869" w:rsidP="008A7136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SPOT agreed to complete BRD including mapping of all source - &gt; target data elements in proposed data model</w:t>
            </w:r>
            <w:r w:rsidRPr="001F1D67">
              <w:rPr>
                <w:i/>
              </w:rPr>
              <w:t>.</w:t>
            </w:r>
            <w:r w:rsidR="001F1D67" w:rsidRPr="001F1D67">
              <w:rPr>
                <w:i/>
              </w:rPr>
              <w:t xml:space="preserve"> This is the most critical “gap” in the deliverables reviewed</w:t>
            </w:r>
            <w:r w:rsidR="001F1D67">
              <w:rPr>
                <w:i/>
              </w:rPr>
              <w:t xml:space="preserve"> and is essential to have SPOT fully complete</w:t>
            </w:r>
            <w:r w:rsidR="001F1D67" w:rsidRPr="001F1D67">
              <w:rPr>
                <w:i/>
              </w:rPr>
              <w:t>.</w:t>
            </w:r>
            <w:r w:rsidR="001F1D67">
              <w:t xml:space="preserve"> </w:t>
            </w:r>
            <w:r>
              <w:t xml:space="preserve"> Expected delivery 25 January 2013</w:t>
            </w:r>
          </w:p>
          <w:p w:rsidR="0081046D" w:rsidRDefault="0081046D" w:rsidP="0081046D">
            <w:pPr>
              <w:pStyle w:val="ListParagraph"/>
              <w:spacing w:after="200" w:line="276" w:lineRule="auto"/>
              <w:ind w:left="1080"/>
            </w:pPr>
          </w:p>
          <w:p w:rsidR="00582D21" w:rsidRDefault="00E97869" w:rsidP="008A7136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 xml:space="preserve">Randall to discuss with Leslie </w:t>
            </w:r>
            <w:r w:rsidR="00E023EA">
              <w:t>the MAXIMUS understanding of SOW and deliverables. Most important is to determine what level of “standardized reporting” design was agreed to</w:t>
            </w:r>
            <w:r w:rsidR="001F1D67">
              <w:t xml:space="preserve"> (SPOT assumes the examples provided are sufficient under the SOW agreements)</w:t>
            </w:r>
            <w:r w:rsidR="00E023EA">
              <w:t>.</w:t>
            </w:r>
            <w:r w:rsidR="001F1D67">
              <w:t xml:space="preserve"> This is the second most critical “gap” and represents a significant level of effort beyond the examples provided.</w:t>
            </w:r>
          </w:p>
          <w:p w:rsidR="0081046D" w:rsidRDefault="0081046D" w:rsidP="0081046D">
            <w:pPr>
              <w:pStyle w:val="ListParagraph"/>
            </w:pPr>
          </w:p>
          <w:p w:rsidR="008A7136" w:rsidRDefault="008A7136" w:rsidP="00582D21">
            <w:pPr>
              <w:pStyle w:val="ListParagraph"/>
            </w:pPr>
          </w:p>
          <w:p w:rsidR="008A7136" w:rsidRPr="00571070" w:rsidRDefault="008A7136" w:rsidP="008A7136"/>
        </w:tc>
        <w:tc>
          <w:tcPr>
            <w:tcW w:w="1989" w:type="dxa"/>
          </w:tcPr>
          <w:p w:rsidR="004A75A4" w:rsidRPr="00571070" w:rsidRDefault="004A75A4" w:rsidP="00DD0908">
            <w:pPr>
              <w:ind w:left="720"/>
              <w:rPr>
                <w:rFonts w:ascii="Arial" w:hAnsi="Arial" w:cs="Arial"/>
              </w:rPr>
            </w:pPr>
          </w:p>
        </w:tc>
      </w:tr>
    </w:tbl>
    <w:p w:rsidR="004A75A4" w:rsidRDefault="004A75A4" w:rsidP="00EB54ED">
      <w:pPr>
        <w:rPr>
          <w:rFonts w:ascii="Arial (W1)" w:hAnsi="Arial (W1)"/>
          <w:b/>
          <w:sz w:val="22"/>
          <w:szCs w:val="22"/>
        </w:rPr>
      </w:pPr>
    </w:p>
    <w:sectPr w:rsidR="004A75A4" w:rsidSect="00990CF9">
      <w:headerReference w:type="default" r:id="rId9"/>
      <w:footerReference w:type="default" r:id="rId10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BB7" w:rsidRDefault="00822BB7">
      <w:pPr>
        <w:pStyle w:val="Location"/>
      </w:pPr>
      <w:r>
        <w:separator/>
      </w:r>
    </w:p>
  </w:endnote>
  <w:endnote w:type="continuationSeparator" w:id="0">
    <w:p w:rsidR="00822BB7" w:rsidRDefault="00822BB7">
      <w:pPr>
        <w:pStyle w:val="Location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(W1)">
    <w:altName w:val="Arial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3432"/>
      <w:gridCol w:w="3432"/>
      <w:gridCol w:w="3432"/>
    </w:tblGrid>
    <w:tr w:rsidR="004A75A4">
      <w:tc>
        <w:tcPr>
          <w:tcW w:w="3432" w:type="dxa"/>
        </w:tcPr>
        <w:p w:rsidR="004A75A4" w:rsidRDefault="004A75A4">
          <w:pPr>
            <w:pStyle w:val="Footer"/>
            <w:tabs>
              <w:tab w:val="clear" w:pos="4320"/>
              <w:tab w:val="clear" w:pos="8640"/>
            </w:tabs>
            <w:rPr>
              <w:rFonts w:ascii="Arial" w:hAnsi="Arial" w:cs="Arial"/>
              <w:snapToGrid w:val="0"/>
              <w:sz w:val="16"/>
              <w:szCs w:val="16"/>
            </w:rPr>
          </w:pPr>
        </w:p>
      </w:tc>
      <w:tc>
        <w:tcPr>
          <w:tcW w:w="3432" w:type="dxa"/>
        </w:tcPr>
        <w:p w:rsidR="004A75A4" w:rsidRDefault="004A75A4">
          <w:pPr>
            <w:pStyle w:val="Footer"/>
            <w:tabs>
              <w:tab w:val="clear" w:pos="4320"/>
              <w:tab w:val="clear" w:pos="8640"/>
            </w:tabs>
            <w:jc w:val="center"/>
            <w:rPr>
              <w:rFonts w:ascii="Arial" w:hAnsi="Arial" w:cs="Arial"/>
              <w:snapToGrid w:val="0"/>
              <w:sz w:val="16"/>
              <w:szCs w:val="16"/>
            </w:rPr>
          </w:pPr>
        </w:p>
      </w:tc>
      <w:tc>
        <w:tcPr>
          <w:tcW w:w="3432" w:type="dxa"/>
        </w:tcPr>
        <w:p w:rsidR="004A75A4" w:rsidRDefault="004F77FC">
          <w:pPr>
            <w:pStyle w:val="Footer"/>
            <w:tabs>
              <w:tab w:val="clear" w:pos="4320"/>
              <w:tab w:val="clear" w:pos="8640"/>
            </w:tabs>
            <w:jc w:val="right"/>
            <w:rPr>
              <w:rFonts w:ascii="Arial" w:hAnsi="Arial" w:cs="Arial"/>
              <w:snapToGrid w:val="0"/>
              <w:sz w:val="18"/>
              <w:szCs w:val="18"/>
            </w:rPr>
          </w:pPr>
          <w:r>
            <w:rPr>
              <w:rStyle w:val="PageNumber"/>
            </w:rPr>
            <w:fldChar w:fldCharType="begin"/>
          </w:r>
          <w:r w:rsidR="004A75A4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17961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4A75A4" w:rsidRDefault="004A75A4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BB7" w:rsidRDefault="00822BB7">
      <w:pPr>
        <w:pStyle w:val="Location"/>
      </w:pPr>
      <w:r>
        <w:separator/>
      </w:r>
    </w:p>
  </w:footnote>
  <w:footnote w:type="continuationSeparator" w:id="0">
    <w:p w:rsidR="00822BB7" w:rsidRDefault="00822BB7">
      <w:pPr>
        <w:pStyle w:val="Location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5A4" w:rsidRDefault="00BF716A">
    <w:pPr>
      <w:pStyle w:val="Header"/>
    </w:pPr>
    <w:r>
      <w:rPr>
        <w:rFonts w:ascii="Arial" w:hAnsi="Arial" w:cs="Arial"/>
        <w:noProof/>
        <w:sz w:val="18"/>
        <w:szCs w:val="18"/>
      </w:rPr>
      <w:drawing>
        <wp:inline distT="0" distB="0" distL="0" distR="0">
          <wp:extent cx="1143000" cy="857250"/>
          <wp:effectExtent l="19050" t="0" r="0" b="0"/>
          <wp:docPr id="1" name="Picture 1" descr="Maximu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857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D0F9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3746EE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4EC8DA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1B28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8"/>
    <w:multiLevelType w:val="singleLevel"/>
    <w:tmpl w:val="BAFC09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008342D9"/>
    <w:multiLevelType w:val="hybridMultilevel"/>
    <w:tmpl w:val="D0F26C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0867B4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E163D2"/>
    <w:multiLevelType w:val="hybridMultilevel"/>
    <w:tmpl w:val="681A3B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1F24CA0"/>
    <w:multiLevelType w:val="hybridMultilevel"/>
    <w:tmpl w:val="4D4A9A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56409DF"/>
    <w:multiLevelType w:val="hybridMultilevel"/>
    <w:tmpl w:val="CDC498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0F3F0BFB"/>
    <w:multiLevelType w:val="hybridMultilevel"/>
    <w:tmpl w:val="C1D0EA92"/>
    <w:lvl w:ilvl="0" w:tplc="0816B5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35B3D4B"/>
    <w:multiLevelType w:val="hybridMultilevel"/>
    <w:tmpl w:val="501C9D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65A3205"/>
    <w:multiLevelType w:val="hybridMultilevel"/>
    <w:tmpl w:val="2CE0F5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D64663"/>
    <w:multiLevelType w:val="hybridMultilevel"/>
    <w:tmpl w:val="21E475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6BF1B7C"/>
    <w:multiLevelType w:val="hybridMultilevel"/>
    <w:tmpl w:val="48F44C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9C10FF7"/>
    <w:multiLevelType w:val="hybridMultilevel"/>
    <w:tmpl w:val="4844BB14"/>
    <w:lvl w:ilvl="0" w:tplc="9ED25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7C2410"/>
    <w:multiLevelType w:val="hybridMultilevel"/>
    <w:tmpl w:val="701ECF8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C627326"/>
    <w:multiLevelType w:val="hybridMultilevel"/>
    <w:tmpl w:val="8C1C7D4E"/>
    <w:lvl w:ilvl="0" w:tplc="A488A042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52E7017"/>
    <w:multiLevelType w:val="hybridMultilevel"/>
    <w:tmpl w:val="EE9443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9F22BA5"/>
    <w:multiLevelType w:val="hybridMultilevel"/>
    <w:tmpl w:val="57EC8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8C2F99"/>
    <w:multiLevelType w:val="hybridMultilevel"/>
    <w:tmpl w:val="6A4EA0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59E73FA"/>
    <w:multiLevelType w:val="hybridMultilevel"/>
    <w:tmpl w:val="1DC2F89E"/>
    <w:lvl w:ilvl="0" w:tplc="B36CEA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5911B6"/>
    <w:multiLevelType w:val="hybridMultilevel"/>
    <w:tmpl w:val="8CDEB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6863B69"/>
    <w:multiLevelType w:val="hybridMultilevel"/>
    <w:tmpl w:val="E5164354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91F679F"/>
    <w:multiLevelType w:val="hybridMultilevel"/>
    <w:tmpl w:val="38FCA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F00F4C"/>
    <w:multiLevelType w:val="hybridMultilevel"/>
    <w:tmpl w:val="ABDED3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0B43E77"/>
    <w:multiLevelType w:val="hybridMultilevel"/>
    <w:tmpl w:val="AFDE84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4BB6251"/>
    <w:multiLevelType w:val="hybridMultilevel"/>
    <w:tmpl w:val="1EAAC9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A6943F9"/>
    <w:multiLevelType w:val="hybridMultilevel"/>
    <w:tmpl w:val="AABC69D8"/>
    <w:lvl w:ilvl="0" w:tplc="F9B4F4DE">
      <w:start w:val="1"/>
      <w:numFmt w:val="lowerRoman"/>
      <w:lvlText w:val="%1."/>
      <w:lvlJc w:val="left"/>
      <w:pPr>
        <w:ind w:left="720" w:hanging="360"/>
      </w:pPr>
      <w:rPr>
        <w:rFonts w:ascii="Tahoma" w:eastAsia="Times New Roman" w:hAnsi="Tahoma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2A130A"/>
    <w:multiLevelType w:val="hybridMultilevel"/>
    <w:tmpl w:val="3426F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C533158"/>
    <w:multiLevelType w:val="hybridMultilevel"/>
    <w:tmpl w:val="7F9E7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121080E"/>
    <w:multiLevelType w:val="hybridMultilevel"/>
    <w:tmpl w:val="519C51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6453063"/>
    <w:multiLevelType w:val="hybridMultilevel"/>
    <w:tmpl w:val="35FEC4FE"/>
    <w:lvl w:ilvl="0" w:tplc="4CE68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4F27F9"/>
    <w:multiLevelType w:val="hybridMultilevel"/>
    <w:tmpl w:val="46FED7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E35339F"/>
    <w:multiLevelType w:val="hybridMultilevel"/>
    <w:tmpl w:val="503C6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4C6DEA"/>
    <w:multiLevelType w:val="hybridMultilevel"/>
    <w:tmpl w:val="54A481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6F910AA"/>
    <w:multiLevelType w:val="hybridMultilevel"/>
    <w:tmpl w:val="B106B7AE"/>
    <w:lvl w:ilvl="0" w:tplc="ABE28F44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8BC24CB"/>
    <w:multiLevelType w:val="hybridMultilevel"/>
    <w:tmpl w:val="78FE46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792D07CA"/>
    <w:multiLevelType w:val="hybridMultilevel"/>
    <w:tmpl w:val="AAB469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C7D0D4F"/>
    <w:multiLevelType w:val="hybridMultilevel"/>
    <w:tmpl w:val="7EB0B1D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CDE1E70"/>
    <w:multiLevelType w:val="hybridMultilevel"/>
    <w:tmpl w:val="4D10E51C"/>
    <w:lvl w:ilvl="0" w:tplc="0CB28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E46F32"/>
    <w:multiLevelType w:val="hybridMultilevel"/>
    <w:tmpl w:val="56A42BE6"/>
    <w:lvl w:ilvl="0" w:tplc="68FAE0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2"/>
  </w:num>
  <w:num w:numId="7">
    <w:abstractNumId w:val="30"/>
  </w:num>
  <w:num w:numId="8">
    <w:abstractNumId w:val="18"/>
  </w:num>
  <w:num w:numId="9">
    <w:abstractNumId w:val="26"/>
  </w:num>
  <w:num w:numId="10">
    <w:abstractNumId w:val="23"/>
  </w:num>
  <w:num w:numId="11">
    <w:abstractNumId w:val="19"/>
  </w:num>
  <w:num w:numId="12">
    <w:abstractNumId w:val="36"/>
  </w:num>
  <w:num w:numId="13">
    <w:abstractNumId w:val="10"/>
  </w:num>
  <w:num w:numId="14">
    <w:abstractNumId w:val="8"/>
  </w:num>
  <w:num w:numId="15">
    <w:abstractNumId w:val="24"/>
  </w:num>
  <w:num w:numId="16">
    <w:abstractNumId w:val="38"/>
  </w:num>
  <w:num w:numId="17">
    <w:abstractNumId w:val="22"/>
  </w:num>
  <w:num w:numId="18">
    <w:abstractNumId w:val="15"/>
  </w:num>
  <w:num w:numId="19">
    <w:abstractNumId w:val="37"/>
  </w:num>
  <w:num w:numId="20">
    <w:abstractNumId w:val="13"/>
  </w:num>
  <w:num w:numId="21">
    <w:abstractNumId w:val="32"/>
  </w:num>
  <w:num w:numId="22">
    <w:abstractNumId w:val="17"/>
  </w:num>
  <w:num w:numId="23">
    <w:abstractNumId w:val="29"/>
  </w:num>
  <w:num w:numId="24">
    <w:abstractNumId w:val="28"/>
  </w:num>
  <w:num w:numId="25">
    <w:abstractNumId w:val="5"/>
  </w:num>
  <w:num w:numId="26">
    <w:abstractNumId w:val="34"/>
  </w:num>
  <w:num w:numId="27">
    <w:abstractNumId w:val="25"/>
  </w:num>
  <w:num w:numId="28">
    <w:abstractNumId w:val="6"/>
  </w:num>
  <w:num w:numId="29">
    <w:abstractNumId w:val="7"/>
  </w:num>
  <w:num w:numId="30">
    <w:abstractNumId w:val="21"/>
  </w:num>
  <w:num w:numId="31">
    <w:abstractNumId w:val="27"/>
  </w:num>
  <w:num w:numId="32">
    <w:abstractNumId w:val="11"/>
  </w:num>
  <w:num w:numId="33">
    <w:abstractNumId w:val="35"/>
  </w:num>
  <w:num w:numId="34">
    <w:abstractNumId w:val="16"/>
  </w:num>
  <w:num w:numId="35">
    <w:abstractNumId w:val="9"/>
  </w:num>
  <w:num w:numId="36">
    <w:abstractNumId w:val="31"/>
  </w:num>
  <w:num w:numId="37">
    <w:abstractNumId w:val="39"/>
  </w:num>
  <w:num w:numId="38">
    <w:abstractNumId w:val="40"/>
  </w:num>
  <w:num w:numId="39">
    <w:abstractNumId w:val="14"/>
  </w:num>
  <w:num w:numId="40">
    <w:abstractNumId w:val="33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cbaseID" w:val="TXACCESS"/>
  </w:docVars>
  <w:rsids>
    <w:rsidRoot w:val="00E62899"/>
    <w:rsid w:val="00000D5A"/>
    <w:rsid w:val="000421A8"/>
    <w:rsid w:val="00083B02"/>
    <w:rsid w:val="00095DE4"/>
    <w:rsid w:val="000A40D7"/>
    <w:rsid w:val="000C3AC3"/>
    <w:rsid w:val="000D2FE8"/>
    <w:rsid w:val="00101FC4"/>
    <w:rsid w:val="001071EB"/>
    <w:rsid w:val="00117961"/>
    <w:rsid w:val="001309AB"/>
    <w:rsid w:val="00147CD9"/>
    <w:rsid w:val="001562B3"/>
    <w:rsid w:val="00171C98"/>
    <w:rsid w:val="001736BF"/>
    <w:rsid w:val="00183320"/>
    <w:rsid w:val="00187C50"/>
    <w:rsid w:val="00187F29"/>
    <w:rsid w:val="00192313"/>
    <w:rsid w:val="00194956"/>
    <w:rsid w:val="001955A1"/>
    <w:rsid w:val="001F1D67"/>
    <w:rsid w:val="00210053"/>
    <w:rsid w:val="002519FD"/>
    <w:rsid w:val="002B2EFB"/>
    <w:rsid w:val="002D36DC"/>
    <w:rsid w:val="002D3D62"/>
    <w:rsid w:val="002F7143"/>
    <w:rsid w:val="00325952"/>
    <w:rsid w:val="00337EC5"/>
    <w:rsid w:val="00347467"/>
    <w:rsid w:val="0035477D"/>
    <w:rsid w:val="00367549"/>
    <w:rsid w:val="00452C81"/>
    <w:rsid w:val="004A75A4"/>
    <w:rsid w:val="004D33CE"/>
    <w:rsid w:val="004E5C46"/>
    <w:rsid w:val="004F77FC"/>
    <w:rsid w:val="00543799"/>
    <w:rsid w:val="005548DD"/>
    <w:rsid w:val="00562195"/>
    <w:rsid w:val="00571070"/>
    <w:rsid w:val="00574074"/>
    <w:rsid w:val="00582D21"/>
    <w:rsid w:val="005854E9"/>
    <w:rsid w:val="005E7800"/>
    <w:rsid w:val="005F4459"/>
    <w:rsid w:val="006041A7"/>
    <w:rsid w:val="006145EB"/>
    <w:rsid w:val="0064258B"/>
    <w:rsid w:val="0065536B"/>
    <w:rsid w:val="0066492D"/>
    <w:rsid w:val="00667D39"/>
    <w:rsid w:val="00684654"/>
    <w:rsid w:val="006E13EC"/>
    <w:rsid w:val="006F09F8"/>
    <w:rsid w:val="006F1E86"/>
    <w:rsid w:val="00744A28"/>
    <w:rsid w:val="007C380A"/>
    <w:rsid w:val="007C7E22"/>
    <w:rsid w:val="007D3DDC"/>
    <w:rsid w:val="0081046D"/>
    <w:rsid w:val="00810F3C"/>
    <w:rsid w:val="00822BB7"/>
    <w:rsid w:val="008333E2"/>
    <w:rsid w:val="008425E2"/>
    <w:rsid w:val="008620BE"/>
    <w:rsid w:val="00877BB0"/>
    <w:rsid w:val="008A7136"/>
    <w:rsid w:val="008E57F8"/>
    <w:rsid w:val="008F0195"/>
    <w:rsid w:val="00910C2E"/>
    <w:rsid w:val="009140F5"/>
    <w:rsid w:val="00921E54"/>
    <w:rsid w:val="009271C2"/>
    <w:rsid w:val="00934DE6"/>
    <w:rsid w:val="00941F81"/>
    <w:rsid w:val="0094326E"/>
    <w:rsid w:val="00952C5E"/>
    <w:rsid w:val="0097028D"/>
    <w:rsid w:val="00990CF9"/>
    <w:rsid w:val="0099460F"/>
    <w:rsid w:val="009F6F71"/>
    <w:rsid w:val="00A070D6"/>
    <w:rsid w:val="00A07C93"/>
    <w:rsid w:val="00A33865"/>
    <w:rsid w:val="00A35101"/>
    <w:rsid w:val="00A54CEF"/>
    <w:rsid w:val="00AF180B"/>
    <w:rsid w:val="00B03627"/>
    <w:rsid w:val="00B12829"/>
    <w:rsid w:val="00B4225A"/>
    <w:rsid w:val="00B4796D"/>
    <w:rsid w:val="00B5665A"/>
    <w:rsid w:val="00B6146E"/>
    <w:rsid w:val="00B748F0"/>
    <w:rsid w:val="00B84697"/>
    <w:rsid w:val="00BF716A"/>
    <w:rsid w:val="00C00F5F"/>
    <w:rsid w:val="00C06E33"/>
    <w:rsid w:val="00C54686"/>
    <w:rsid w:val="00C56AEE"/>
    <w:rsid w:val="00CA5BD0"/>
    <w:rsid w:val="00CC5011"/>
    <w:rsid w:val="00CC52C0"/>
    <w:rsid w:val="00CC534F"/>
    <w:rsid w:val="00D31491"/>
    <w:rsid w:val="00D36063"/>
    <w:rsid w:val="00D372A3"/>
    <w:rsid w:val="00D461EE"/>
    <w:rsid w:val="00D869F3"/>
    <w:rsid w:val="00D929C2"/>
    <w:rsid w:val="00DA5B8F"/>
    <w:rsid w:val="00DB3F0C"/>
    <w:rsid w:val="00DC7B87"/>
    <w:rsid w:val="00DD0908"/>
    <w:rsid w:val="00DD49F8"/>
    <w:rsid w:val="00E023EA"/>
    <w:rsid w:val="00E419A7"/>
    <w:rsid w:val="00E62899"/>
    <w:rsid w:val="00E711BF"/>
    <w:rsid w:val="00E83FB4"/>
    <w:rsid w:val="00E97869"/>
    <w:rsid w:val="00EB54ED"/>
    <w:rsid w:val="00EF3192"/>
    <w:rsid w:val="00F11600"/>
    <w:rsid w:val="00F16FB3"/>
    <w:rsid w:val="00F356B0"/>
    <w:rsid w:val="00F540B2"/>
    <w:rsid w:val="00F97AF6"/>
    <w:rsid w:val="00FB7F3A"/>
    <w:rsid w:val="00FD2264"/>
    <w:rsid w:val="00FE498D"/>
    <w:rsid w:val="00FF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459"/>
    <w:rPr>
      <w:rFonts w:ascii="Tahoma" w:hAnsi="Tahoma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271C2"/>
    <w:pPr>
      <w:keepNext/>
      <w:spacing w:before="240" w:after="60"/>
      <w:outlineLvl w:val="0"/>
    </w:pPr>
    <w:rPr>
      <w:rFonts w:ascii="Arial Black" w:hAnsi="Arial Black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271C2"/>
    <w:pPr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C0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C0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Location">
    <w:name w:val="Location"/>
    <w:basedOn w:val="Normal"/>
    <w:uiPriority w:val="99"/>
    <w:rsid w:val="009271C2"/>
    <w:pPr>
      <w:jc w:val="right"/>
    </w:pPr>
  </w:style>
  <w:style w:type="paragraph" w:customStyle="1" w:styleId="Bold10pt">
    <w:name w:val="Bold 10 pt."/>
    <w:basedOn w:val="Normal"/>
    <w:uiPriority w:val="99"/>
    <w:rsid w:val="009271C2"/>
    <w:pPr>
      <w:tabs>
        <w:tab w:val="left" w:pos="1620"/>
      </w:tabs>
    </w:pPr>
    <w:rPr>
      <w:b/>
    </w:rPr>
  </w:style>
  <w:style w:type="character" w:customStyle="1" w:styleId="Bold10ptChar">
    <w:name w:val="Bold 10 pt. Char"/>
    <w:basedOn w:val="DefaultParagraphFont"/>
    <w:uiPriority w:val="99"/>
    <w:rsid w:val="009271C2"/>
    <w:rPr>
      <w:rFonts w:ascii="Tahoma" w:hAnsi="Tahoma" w:cs="Times New Roman"/>
      <w:b/>
      <w:sz w:val="24"/>
      <w:szCs w:val="24"/>
      <w:lang w:val="en-US" w:eastAsia="en-US" w:bidi="ar-SA"/>
    </w:rPr>
  </w:style>
  <w:style w:type="paragraph" w:styleId="Title">
    <w:name w:val="Title"/>
    <w:basedOn w:val="Normal"/>
    <w:link w:val="TitleChar"/>
    <w:uiPriority w:val="99"/>
    <w:qFormat/>
    <w:rsid w:val="009271C2"/>
    <w:pPr>
      <w:jc w:val="right"/>
    </w:pPr>
    <w:rPr>
      <w:rFonts w:ascii="Arial Black" w:hAnsi="Arial Black" w:cs="Arial"/>
      <w:color w:val="808080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5C3C0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9271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3C04"/>
    <w:rPr>
      <w:rFonts w:ascii="Tahoma" w:hAnsi="Tahoma"/>
      <w:sz w:val="20"/>
      <w:szCs w:val="24"/>
    </w:rPr>
  </w:style>
  <w:style w:type="paragraph" w:styleId="Footer">
    <w:name w:val="footer"/>
    <w:basedOn w:val="Normal"/>
    <w:link w:val="FooterChar"/>
    <w:uiPriority w:val="99"/>
    <w:rsid w:val="009271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3C04"/>
    <w:rPr>
      <w:rFonts w:ascii="Tahoma" w:hAnsi="Tahoma"/>
      <w:sz w:val="20"/>
      <w:szCs w:val="24"/>
    </w:rPr>
  </w:style>
  <w:style w:type="character" w:styleId="PageNumber">
    <w:name w:val="page number"/>
    <w:basedOn w:val="DefaultParagraphFont"/>
    <w:uiPriority w:val="99"/>
    <w:rsid w:val="009271C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9271C2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C04"/>
    <w:rPr>
      <w:sz w:val="0"/>
      <w:szCs w:val="0"/>
    </w:rPr>
  </w:style>
  <w:style w:type="paragraph" w:styleId="DocumentMap">
    <w:name w:val="Document Map"/>
    <w:basedOn w:val="Normal"/>
    <w:link w:val="DocumentMapChar"/>
    <w:uiPriority w:val="99"/>
    <w:semiHidden/>
    <w:rsid w:val="009271C2"/>
    <w:pPr>
      <w:shd w:val="clear" w:color="auto" w:fill="000080"/>
    </w:pPr>
    <w:rPr>
      <w:rFonts w:cs="Tahoma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C3C04"/>
    <w:rPr>
      <w:sz w:val="0"/>
      <w:szCs w:val="0"/>
    </w:rPr>
  </w:style>
  <w:style w:type="paragraph" w:customStyle="1" w:styleId="IEESText">
    <w:name w:val="IEES Text"/>
    <w:basedOn w:val="Normal"/>
    <w:uiPriority w:val="99"/>
    <w:rsid w:val="009271C2"/>
    <w:rPr>
      <w:rFonts w:ascii="Times New Roman" w:hAnsi="Times New Roman"/>
      <w:sz w:val="22"/>
      <w:szCs w:val="20"/>
    </w:rPr>
  </w:style>
  <w:style w:type="character" w:customStyle="1" w:styleId="IEESTextChar">
    <w:name w:val="IEES Text Char"/>
    <w:basedOn w:val="DefaultParagraphFont"/>
    <w:uiPriority w:val="99"/>
    <w:rsid w:val="009271C2"/>
    <w:rPr>
      <w:rFonts w:cs="Times New Roman"/>
      <w:sz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D929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57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1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459"/>
    <w:rPr>
      <w:rFonts w:ascii="Tahoma" w:hAnsi="Tahoma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271C2"/>
    <w:pPr>
      <w:keepNext/>
      <w:spacing w:before="240" w:after="60"/>
      <w:outlineLvl w:val="0"/>
    </w:pPr>
    <w:rPr>
      <w:rFonts w:ascii="Arial Black" w:hAnsi="Arial Black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271C2"/>
    <w:pPr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C0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C0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Location">
    <w:name w:val="Location"/>
    <w:basedOn w:val="Normal"/>
    <w:uiPriority w:val="99"/>
    <w:rsid w:val="009271C2"/>
    <w:pPr>
      <w:jc w:val="right"/>
    </w:pPr>
  </w:style>
  <w:style w:type="paragraph" w:customStyle="1" w:styleId="Bold10pt">
    <w:name w:val="Bold 10 pt."/>
    <w:basedOn w:val="Normal"/>
    <w:uiPriority w:val="99"/>
    <w:rsid w:val="009271C2"/>
    <w:pPr>
      <w:tabs>
        <w:tab w:val="left" w:pos="1620"/>
      </w:tabs>
    </w:pPr>
    <w:rPr>
      <w:b/>
    </w:rPr>
  </w:style>
  <w:style w:type="character" w:customStyle="1" w:styleId="Bold10ptChar">
    <w:name w:val="Bold 10 pt. Char"/>
    <w:basedOn w:val="DefaultParagraphFont"/>
    <w:uiPriority w:val="99"/>
    <w:rsid w:val="009271C2"/>
    <w:rPr>
      <w:rFonts w:ascii="Tahoma" w:hAnsi="Tahoma" w:cs="Times New Roman"/>
      <w:b/>
      <w:sz w:val="24"/>
      <w:szCs w:val="24"/>
      <w:lang w:val="en-US" w:eastAsia="en-US" w:bidi="ar-SA"/>
    </w:rPr>
  </w:style>
  <w:style w:type="paragraph" w:styleId="Title">
    <w:name w:val="Title"/>
    <w:basedOn w:val="Normal"/>
    <w:link w:val="TitleChar"/>
    <w:uiPriority w:val="99"/>
    <w:qFormat/>
    <w:rsid w:val="009271C2"/>
    <w:pPr>
      <w:jc w:val="right"/>
    </w:pPr>
    <w:rPr>
      <w:rFonts w:ascii="Arial Black" w:hAnsi="Arial Black" w:cs="Arial"/>
      <w:color w:val="808080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5C3C0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9271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3C04"/>
    <w:rPr>
      <w:rFonts w:ascii="Tahoma" w:hAnsi="Tahoma"/>
      <w:sz w:val="20"/>
      <w:szCs w:val="24"/>
    </w:rPr>
  </w:style>
  <w:style w:type="paragraph" w:styleId="Footer">
    <w:name w:val="footer"/>
    <w:basedOn w:val="Normal"/>
    <w:link w:val="FooterChar"/>
    <w:uiPriority w:val="99"/>
    <w:rsid w:val="009271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3C04"/>
    <w:rPr>
      <w:rFonts w:ascii="Tahoma" w:hAnsi="Tahoma"/>
      <w:sz w:val="20"/>
      <w:szCs w:val="24"/>
    </w:rPr>
  </w:style>
  <w:style w:type="character" w:styleId="PageNumber">
    <w:name w:val="page number"/>
    <w:basedOn w:val="DefaultParagraphFont"/>
    <w:uiPriority w:val="99"/>
    <w:rsid w:val="009271C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9271C2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C04"/>
    <w:rPr>
      <w:sz w:val="0"/>
      <w:szCs w:val="0"/>
    </w:rPr>
  </w:style>
  <w:style w:type="paragraph" w:styleId="DocumentMap">
    <w:name w:val="Document Map"/>
    <w:basedOn w:val="Normal"/>
    <w:link w:val="DocumentMapChar"/>
    <w:uiPriority w:val="99"/>
    <w:semiHidden/>
    <w:rsid w:val="009271C2"/>
    <w:pPr>
      <w:shd w:val="clear" w:color="auto" w:fill="000080"/>
    </w:pPr>
    <w:rPr>
      <w:rFonts w:cs="Tahoma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C3C04"/>
    <w:rPr>
      <w:sz w:val="0"/>
      <w:szCs w:val="0"/>
    </w:rPr>
  </w:style>
  <w:style w:type="paragraph" w:customStyle="1" w:styleId="IEESText">
    <w:name w:val="IEES Text"/>
    <w:basedOn w:val="Normal"/>
    <w:uiPriority w:val="99"/>
    <w:rsid w:val="009271C2"/>
    <w:rPr>
      <w:rFonts w:ascii="Times New Roman" w:hAnsi="Times New Roman"/>
      <w:sz w:val="22"/>
      <w:szCs w:val="20"/>
    </w:rPr>
  </w:style>
  <w:style w:type="character" w:customStyle="1" w:styleId="IEESTextChar">
    <w:name w:val="IEES Text Char"/>
    <w:basedOn w:val="DefaultParagraphFont"/>
    <w:uiPriority w:val="99"/>
    <w:rsid w:val="009271C2"/>
    <w:rPr>
      <w:rFonts w:cs="Times New Roman"/>
      <w:sz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D929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57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1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xcs.maxinc.com/gm/folder1.11.52777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My%20Documents\Deanna's%20Files\Project%20Management%20Office\Templates\Meeting%20Minute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Template</Template>
  <TotalTime>113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Interim Period 1 Audit</vt:lpstr>
    </vt:vector>
  </TitlesOfParts>
  <Company>Microsoft Corporation</Company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Interim Period 1 Audit</dc:title>
  <dc:subject>Governance Meeting Minutes</dc:subject>
  <dc:creator>Deanna M. Dehaven</dc:creator>
  <cp:lastModifiedBy>randall</cp:lastModifiedBy>
  <cp:revision>17</cp:revision>
  <cp:lastPrinted>2012-10-31T15:57:00Z</cp:lastPrinted>
  <dcterms:created xsi:type="dcterms:W3CDTF">2013-01-19T15:16:00Z</dcterms:created>
  <dcterms:modified xsi:type="dcterms:W3CDTF">2013-01-19T22:39:00Z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TC062070661033</vt:lpwstr>
  </property>
  <property fmtid="{D5CDD505-2E9C-101B-9397-08002B2CF9AE}" pid="3" name="_NewReviewCycle">
    <vt:lpwstr/>
  </property>
</Properties>
</file>