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Lobster" w:cs="Lobster" w:eastAsia="Lobster" w:hAnsi="Lobster"/>
        </w:rPr>
      </w:pPr>
      <w:r w:rsidDel="00000000" w:rsidR="00000000" w:rsidRPr="00000000">
        <w:rPr>
          <w:rtl w:val="0"/>
        </w:rPr>
        <w:t xml:space="preserve">•</w:t>
      </w:r>
      <w:r w:rsidDel="00000000" w:rsidR="00000000" w:rsidRPr="00000000">
        <w:rPr>
          <w:rFonts w:ascii="Lobster" w:cs="Lobster" w:eastAsia="Lobster" w:hAnsi="Lobster"/>
          <w:rtl w:val="0"/>
        </w:rPr>
        <w:t xml:space="preserve">EU: pssce mdle</w:t>
      </w:r>
    </w:p>
    <w:p w:rsidR="00000000" w:rsidDel="00000000" w:rsidP="00000000" w:rsidRDefault="00000000" w:rsidRPr="00000000" w14:paraId="00000002">
      <w:pPr>
        <w:rPr>
          <w:color w:val="002a45"/>
          <w:sz w:val="21"/>
          <w:szCs w:val="21"/>
          <w:highlight w:val="white"/>
        </w:rPr>
      </w:pPr>
      <w:r w:rsidDel="00000000" w:rsidR="00000000" w:rsidRPr="00000000">
        <w:rPr>
          <w:color w:val="ff0000"/>
          <w:sz w:val="21"/>
          <w:szCs w:val="21"/>
          <w:highlight w:val="white"/>
          <w:rtl w:val="0"/>
        </w:rPr>
        <w:t xml:space="preserve">[Accroche]</w:t>
      </w:r>
      <w:r w:rsidDel="00000000" w:rsidR="00000000" w:rsidRPr="00000000">
        <w:rPr>
          <w:color w:val="002a45"/>
          <w:sz w:val="21"/>
          <w:szCs w:val="21"/>
          <w:highlight w:val="white"/>
          <w:rtl w:val="0"/>
        </w:rPr>
        <w:t xml:space="preserve"> Après avoir, entre 1941 et 1945, mobilisé toutes leurs ressources au service des Alliés contre les forces de l’Axe, les États-Unis auréolés de leur victoire affirment dans le monde une puissance sans équivalent. Cependant, dès 1945, s’amorce une intense rivalité avec l’URSS, autre puissance victorieuse.</w:t>
      </w:r>
    </w:p>
    <w:p w:rsidR="00000000" w:rsidDel="00000000" w:rsidP="00000000" w:rsidRDefault="00000000" w:rsidRPr="00000000" w14:paraId="00000003">
      <w:pPr>
        <w:rPr>
          <w:color w:val="002a45"/>
          <w:sz w:val="21"/>
          <w:szCs w:val="21"/>
          <w:highlight w:val="white"/>
        </w:rPr>
      </w:pPr>
      <w:r w:rsidDel="00000000" w:rsidR="00000000" w:rsidRPr="00000000">
        <w:rPr>
          <w:rtl w:val="0"/>
        </w:rPr>
        <w:t xml:space="preserve">•</w:t>
      </w:r>
      <w:r w:rsidDel="00000000" w:rsidR="00000000" w:rsidRPr="00000000">
        <w:rPr>
          <w:rFonts w:ascii="Lobster" w:cs="Lobster" w:eastAsia="Lobster" w:hAnsi="Lobster"/>
          <w:rtl w:val="0"/>
        </w:rPr>
        <w:t xml:space="preserve">Mmoire 2GM</w:t>
      </w:r>
      <w:r w:rsidDel="00000000" w:rsidR="00000000" w:rsidRPr="00000000">
        <w:rPr>
          <w:rtl w:val="0"/>
        </w:rPr>
      </w:r>
    </w:p>
    <w:p w:rsidR="00000000" w:rsidDel="00000000" w:rsidP="00000000" w:rsidRDefault="00000000" w:rsidRPr="00000000" w14:paraId="00000004">
      <w:pPr>
        <w:rPr>
          <w:color w:val="002a45"/>
          <w:sz w:val="21"/>
          <w:szCs w:val="21"/>
          <w:highlight w:val="white"/>
        </w:rPr>
      </w:pPr>
      <w:r w:rsidDel="00000000" w:rsidR="00000000" w:rsidRPr="00000000">
        <w:rPr>
          <w:color w:val="ff0000"/>
          <w:sz w:val="21"/>
          <w:szCs w:val="21"/>
          <w:highlight w:val="white"/>
          <w:rtl w:val="0"/>
        </w:rPr>
        <w:t xml:space="preserve">[Accroche]</w:t>
      </w:r>
      <w:r w:rsidDel="00000000" w:rsidR="00000000" w:rsidRPr="00000000">
        <w:rPr>
          <w:rtl w:val="0"/>
        </w:rPr>
      </w:r>
    </w:p>
    <w:p w:rsidR="00000000" w:rsidDel="00000000" w:rsidP="00000000" w:rsidRDefault="00000000" w:rsidRPr="00000000" w14:paraId="00000005">
      <w:pPr>
        <w:rPr>
          <w:color w:val="002a45"/>
          <w:sz w:val="21"/>
          <w:szCs w:val="21"/>
          <w:highlight w:val="white"/>
        </w:rPr>
      </w:pPr>
      <w:r w:rsidDel="00000000" w:rsidR="00000000" w:rsidRPr="00000000">
        <w:rPr>
          <w:color w:val="002a45"/>
          <w:sz w:val="21"/>
          <w:szCs w:val="21"/>
          <w:highlight w:val="white"/>
          <w:rtl w:val="0"/>
        </w:rPr>
        <w:t xml:space="preserve">En 2009, la diffusion télévisée du film de Philippe Triboit Un village français est un grand succès populaire. Celui-ci témoigne de l’intérêt du public français pour la période de l’Occupation, dont la complexité est soulignée dans le scénario. Cette œuvre est révélatrice d’une mémoire de la Seconde Guerre mondiale en France, c’est-à-dire de l’ensemble des souvenirs et des représentations communes que les Français partagent. À ce titre, elle nourrit la réflexion historique sur une période dont l’historiographie est déjà abondante.</w:t>
      </w:r>
    </w:p>
    <w:p w:rsidR="00000000" w:rsidDel="00000000" w:rsidP="00000000" w:rsidRDefault="00000000" w:rsidRPr="00000000" w14:paraId="00000006">
      <w:pPr>
        <w:rPr>
          <w:color w:val="002a45"/>
          <w:sz w:val="21"/>
          <w:szCs w:val="21"/>
          <w:highlight w:val="white"/>
        </w:rPr>
      </w:pPr>
      <w:r w:rsidDel="00000000" w:rsidR="00000000" w:rsidRPr="00000000">
        <w:rPr>
          <w:rtl w:val="0"/>
        </w:rPr>
        <w:t xml:space="preserve">•</w:t>
      </w:r>
      <w:r w:rsidDel="00000000" w:rsidR="00000000" w:rsidRPr="00000000">
        <w:rPr>
          <w:rFonts w:ascii="Lobster" w:cs="Lobster" w:eastAsia="Lobster" w:hAnsi="Lobster"/>
          <w:rtl w:val="0"/>
        </w:rPr>
        <w:t xml:space="preserve">Mondialisation </w:t>
      </w:r>
      <w:r w:rsidDel="00000000" w:rsidR="00000000" w:rsidRPr="00000000">
        <w:rPr>
          <w:rtl w:val="0"/>
        </w:rPr>
      </w:r>
    </w:p>
    <w:p w:rsidR="00000000" w:rsidDel="00000000" w:rsidP="00000000" w:rsidRDefault="00000000" w:rsidRPr="00000000" w14:paraId="00000007">
      <w:pPr>
        <w:rPr>
          <w:color w:val="002a45"/>
          <w:sz w:val="21"/>
          <w:szCs w:val="21"/>
          <w:highlight w:val="white"/>
        </w:rPr>
      </w:pPr>
      <w:r w:rsidDel="00000000" w:rsidR="00000000" w:rsidRPr="00000000">
        <w:rPr>
          <w:color w:val="ff0000"/>
          <w:sz w:val="21"/>
          <w:szCs w:val="21"/>
          <w:highlight w:val="white"/>
          <w:rtl w:val="0"/>
        </w:rPr>
        <w:t xml:space="preserve">[Accroche]</w:t>
      </w:r>
      <w:r w:rsidDel="00000000" w:rsidR="00000000" w:rsidRPr="00000000">
        <w:rPr>
          <w:color w:val="002a45"/>
          <w:sz w:val="21"/>
          <w:szCs w:val="21"/>
          <w:highlight w:val="white"/>
          <w:rtl w:val="0"/>
        </w:rPr>
        <w:t xml:space="preserve">La crise financière et économique qui a débuté en 2008 illustre bien l’existence d’un espace mondialisé. En effet, sous sa forme contemporaine, la mondialisation se caractérise par l’intégration progressive des territoires et des sociétés à l’échelle mondiale. Ce processus implique une multiplicité d’acteurs, génère des flux intenses et variés, mais suscite de nombreux débats</w:t>
      </w:r>
    </w:p>
    <w:sectPr>
      <w:headerReference r:id="rId6" w:type="default"/>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Lobster">
    <w:embedRegular w:fontKey="{00000000-0000-0000-0000-000000000000}" r:id="rId1" w:subsetted="0"/>
  </w:font>
  <w:font w:name="PT Sans Narrow">
    <w:embedRegular w:fontKey="{00000000-0000-0000-0000-000000000000}" r:id="rId2" w:subsetted="0"/>
    <w:embedBold w:fontKey="{00000000-0000-0000-0000-000000000000}" r:id="rId3" w:subsetted="0"/>
  </w:font>
  <w:font w:name="Abril Fatface">
    <w:embedRegular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8">
    <w:pPr>
      <w:jc w:val="center"/>
      <w:rPr>
        <w:rFonts w:ascii="Abril Fatface" w:cs="Abril Fatface" w:eastAsia="Abril Fatface" w:hAnsi="Abril Fatface"/>
        <w:b w:val="1"/>
        <w:sz w:val="30"/>
        <w:szCs w:val="30"/>
        <w:u w:val="single"/>
      </w:rPr>
    </w:pPr>
    <w:r w:rsidDel="00000000" w:rsidR="00000000" w:rsidRPr="00000000">
      <w:rPr>
        <w:rFonts w:ascii="Abril Fatface" w:cs="Abril Fatface" w:eastAsia="Abril Fatface" w:hAnsi="Abril Fatface"/>
        <w:b w:val="1"/>
        <w:sz w:val="30"/>
        <w:szCs w:val="30"/>
        <w:u w:val="single"/>
        <w:rtl w:val="0"/>
      </w:rPr>
      <w:t xml:space="preserve">Accroche HISTOIRE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fr"/>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rPr>
      <w:rFonts w:ascii="PT Sans Narrow" w:cs="PT Sans Narrow" w:eastAsia="PT Sans Narrow" w:hAnsi="PT Sans Narrow"/>
      <w:color w:val="008575"/>
      <w:sz w:val="32"/>
      <w:szCs w:val="32"/>
    </w:rPr>
  </w:style>
  <w:style w:type="paragraph" w:styleId="Heading3">
    <w:name w:val="heading 3"/>
    <w:basedOn w:val="Normal"/>
    <w:next w:val="Normal"/>
    <w:pPr>
      <w:spacing w:after="120" w:before="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after="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obster-regular.ttf"/><Relationship Id="rId2" Type="http://schemas.openxmlformats.org/officeDocument/2006/relationships/font" Target="fonts/PTSansNarrow-regular.ttf"/><Relationship Id="rId3" Type="http://schemas.openxmlformats.org/officeDocument/2006/relationships/font" Target="fonts/PTSansNarrow-bold.ttf"/><Relationship Id="rId4" Type="http://schemas.openxmlformats.org/officeDocument/2006/relationships/font" Target="fonts/AbrilFatface-regular.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