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 – Spezifikation V502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Prozesse · BK · Fristen · Forderungen · OCR · Dashboard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Fachliches Referenzdokument – Stand V502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24.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 in V502 (24. Juni 2026, 11:00–18:00 Uhr)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Kern 1: Betriebskosten – alle BK durch eine vereinheitlichte Logik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Kern 2: Fristenmanagement – alle Deadlines in einer Tabelle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Kern 3: Forderungsmanagement – alle Forderungen inkl. Schaden/Nutzungsausfall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Mietrecht: §558/§559/Staffel/Index, CityTax versioniert, KZV-Auto-Vertrag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Verwaltungsverträge: Miet/WEG/SEV/KZV mit Vergütungsmodellen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OCR-Pipeline: Mistral OCR für alle Eingangs- und Ausgangsdokumente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Mieter-Portal (Phase 10): konkretisiert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Sonstige Use Cases: Inventar, Versicherung, Handwerker, ESG, DSGVO, Revenue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UI/Dashboard: Tremor-Komponenten je Seite/Projekttyp festgelegt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Betriebskosten – Vereinheitlichte Logik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Alle Betriebskosten laufen durch dieselbe Logik – egal ob Strom, Gas, Müll, Hausmeister, WEG-extern oder Grundsteuer.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Verarbeitung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Strom (kWh), Gas (m³→kWh), Wasser (m³), Fernwärme (MWh)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bk_berechnungslogik + brennwerte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Hausmeister, Müll, Versicherung, Gartenpflege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 als Betrag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weg_extern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WEG-HV Jahresabrechnung durchgeleitet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 klassifiziert umlagefähig/nicht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pauschal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Warmwasser als % der Heizkosten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fester Betrag oder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bescheid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Grundsteuer, Gebühren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 als Betrag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Berechnungslogiken je BK-Art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BK-Art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Eingang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Umrechnung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kWh (Zähler direkt)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Ende - Anfang → × Preis/kWh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m³ (Zähler)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kWh = m³ × Brennwert × Zustandszahl → × Preis/kWh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Wasser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m³ (Zähler direkt)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Ende - Anfang → × Preis/m³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Fernwärme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MWh oder GJ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Grundpreis + Arbeitspreis × MWh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Heizöl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kWh = L × Heizwert (~9,8 kWh/L)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Pellets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kWh = kg × Heizwert (~4,8 kWh/kg)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Warmwasser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von Heizung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Betrag = Heizkosten × 18%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HKVO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kWh gesamt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70% Verbrauch / 30% m²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Pauschal/Rechnung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Betrag direkt</w:t>
            </w:r>
          </w:p>
        </w:tc>
      </w:tr>
    </w:tbl>
    <w:p>
      <w:pPr>
        <w:spacing w:after="100"/>
      </w:pPr>
    </w:p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Brennwert Gas schwankt je Netzgebiet – in brennwerte-Tabelle versioniert je Versorger speichern.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Abrechnungseinheiten (universell)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Ersetzt wg_gruppen + bk_umlagegruppen + Zählergruppen + Heizkreise in EINEM Konzept.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Umlageschlüssel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WG-Gruppe (1 oder mehrere Einheiten, Hauptmieter + Mitbewohner)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kopfzahl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zaehlergruppe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2+ Einheiten an 1 Zähler (z.B. AS125A1+A2 an Wasserzähler)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flaeche oder individuell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heizkreis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Gemeinsamer Heizkreis (nur OG-Einheiten)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flaeche oder verbrauch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bk_gruppe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Spezifische Umlagegruppe (WG1+WG2 aber nicht WG3)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kopfzahl oder flaeche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sonstige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Gewerbe separat, sonstige Gruppierungen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individuell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Umlageschlüssel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kopfzahl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WG, Müll, Hausmeister-Sondereinsatz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Funktion kopfzahl_gruppe() zum Stichtag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flaeche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§556a BGB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m² je Einheit / Gesamt-m²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Gleichteilung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/ Anzahl Einheiten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verbrauch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Wasser, Heizung mit Einzelzähler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 je Einheit / Gesamtverbrauch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miteigentum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 je Einheit / 100%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individuell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Mischfälle, Sonderregelungen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fester_anteil_pct direkt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KZV-Apartments aus BK raus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intern_abgerechnet = TRUE → 0 EUR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WEG-Extern Durchleitung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WEG-Abrechnung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Umlagefähig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Weiterberechnung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Allgemeinstrom, Hausmeister, Versicherung, Garten, Grundsteuer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kostenverteilung_positionen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Instandhaltungsrücklage, Verwaltungshonorar HV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NEIN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Eigentümer-Report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Reparaturen, Versicherungs-Selbstbehalt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NEIN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Eigentümer-Report</w:t>
            </w:r>
          </w:p>
        </w:tc>
      </w:tr>
    </w:tbl>
    <w:p>
      <w:pPr>
        <w:pBdr>
          <w:left w:val="single" w:color="2E7D32" w:sz="8" w:space="8"/>
        </w:pBdr>
        <w:shd w:fill="E8F5E9" w:val="clear"/>
        <w:spacing w:after="80"/>
        <w:ind w:left="30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✅  KI-Usecase: Mistral OCR → KI klassifiziert → Verwalter bestätigt (1 Klick) → auto in BK-Abrechnung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BK-Modelle je Mietvertrag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Funktionsweise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Jahresabschluss</w:t>
            </w:r>
          </w:p>
        </w:tc>
        <w:tc>
          <w:tcPr>
            <w:tcW w:type="dxa" w:w="1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pauschale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Fester Betrag/Monat, kein Jahresabschluss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NEIN</w:t>
            </w:r>
          </w:p>
        </w:tc>
        <w:tc>
          <w:tcPr>
            <w:tcW w:type="dxa" w:w="1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§560 BGB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vorauszahlung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Monatliche Vorauszahlung, Jahres-BKA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</w:t>
            </w:r>
          </w:p>
        </w:tc>
        <w:tc>
          <w:tcPr>
            <w:tcW w:type="dxa" w:w="1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§556 BGB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KI-Automatisierung BK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Zählerstand-Trend +15% → bk_pauschalen_anpassungen → §560 Brief → Frist setzen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WEG-PDF → Mistral OCR → KI klassifiziert → Verwalter bestätigt → DB befüllt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Leerstandsanteil automatisch: leerst. Einheit → Vermieter trägt BK-Anteil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Gewerbemieter: BK + 19% USt (mietvertraege.ust_pflichtig)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HKVO Fernablesepflicht ab 01.01.2027: monatliche Info-E-Mail automatisch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Fristenmanagement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Eine Tabelle für alle Deadlines – n8n prüft täglich, löst Aktionen automatisch aus.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Frist-Typ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Auslöser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Auto-Aktion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bk_anpassung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BK-Trend &gt;15%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§560: 1 Monat Monatsende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+ Vorgang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mieterhoehung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/ §558 Potenzial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Monate vor Wirksamkeit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 + Zustimmungs-Tracking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modernisierung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§555b Ankündigung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Monate vor Maßnahme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 + Vorgang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kuendigung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Kündigung eingeht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Laufzeit (3M standard)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+ Übergabe planen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raeumung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§546a, verspäteter Auszug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Sofort nach Mietende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 + Mahnwesen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kautionsabrechnung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Auszug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Monate §259 BGB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Abrechnung erstellen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gewaehrleistung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Handwerkerrechnung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Jahre §634a BGB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vor Ablauf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wartung_rauchmelder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Einbau/Letzte Prüfung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Jahr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Wartungsauftrag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wartung_aufzug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TÜV-Prüfung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Jahr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TÜV beauftragen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wartung_legionellen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Prüfung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Jahre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Labor beauftragen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staffelmiete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Nächste Stufe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Monat vorher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Auto-Anpassung Mietvertrag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indexmiete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Anpassung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Monate + VPI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Berechnung + Brief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verjährung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Schaden festgestellt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Jahre §195 BGB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Verwalter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Forderungsmanagement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Eine Tabelle für alle Forderungen – Kaution als Verrechnungstopf, Mahnwesen automatisch.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Forderungstyp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Entstehung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Kaution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Mahnwesen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 (Sollstellung)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 bei Ausstand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bk_nachzahlung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Jahres-BKA Ergebnis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 möglich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sachschaden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Übergabe / Incident Report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Primär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 falls 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reinigung_zusatz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Zusatzreinigung nach Auszug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Primär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 falls 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nutzungsausfall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§546a verspäteter Auszug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 möglich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 sofort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mietausfall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 durch Schaden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gegen Verursacher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Auszug nötig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Primär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 falls 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hausgeld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WEG-Eigentümer Rückstand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je Buchung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Quartalsexport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Schadensmanagement – verknüpft mit Vorgängen</w:t>
      </w:r>
    </w:p>
    <w:p>
      <w:pPr>
        <w:pBdr>
          <w:left w:val="single" w:color="2E75B6" w:sz="8" w:space="8"/>
        </w:pBdr>
        <w:shd w:fill="E3F2FD" w:val="clear"/>
        <w:spacing w:after="80"/>
        <w:ind w:left="300"/>
      </w:pPr>
      <w:r>
        <w:rPr>
          <w:rFonts w:ascii="Arial" w:cs="Arial" w:eastAsia="Arial" w:hAnsi="Arial"/>
          <w:color w:val="0D47A1"/>
          <w:sz w:val="18"/>
          <w:szCs w:val="18"/>
        </w:rPr>
        <w:t xml:space="preserve">ℹ️  Jeder Schaden = Vorgang (P14) + Forderung (1:n). vorgang_id FK in forderungen.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Primär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KI-Aktion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 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 direkt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Auto, kein Alert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50–500 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Mahnung Stufe 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Verwalter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500–5.000 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 + Versicherung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P10 komplett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Versicherungsmeldung vorbereiten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5.000–10.000 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Versicherung + Mahnbescheid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AG-Klage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KI: Klageschrift P52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10.000 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Anwalt einschalten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LG-Klage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Alert: Anwalt beauftragen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Kaution als Verrechnungstopf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Kaution = Topf: erst alle offenen Forderungen verrechnen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 positiv → Rückzahlung an Mieter (SEPA)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 negativ → Nachforderung → P10 Mahnwesen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Frist: §259 BGB, 6 Monate nach Auszug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 erstellt Kautionsabrechnung automatisch aus allen Forderungen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Mietrecht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Mieterhöhungsarten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Grundlage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vergleichsmiete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§558 BGB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Monate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Zustimmung Mieter nötig, Kappungsgrenze BW 15% in 3J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modernisierung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§559 BGB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Monate Ankündigung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8% Modernisierungskosten p.a. max.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staffel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§557a BGB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Vertrag fix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Automatisch wirksam, kein Kündigungsausschluss &gt; 4J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§557b BGB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Monate Mindestintervall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VPI Destatis, monatlich via n8n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einvernehmlich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§557 BGB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Jederzeit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Schriftlich, beliebige Höhe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KZV-Vertrag – automatisch erstellt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Beds24-Webhook → Buchung eingeht → mietvertrag V03 automatisch: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mietvertrag_typ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V03 (KZV)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fix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einheit_id / mieter_id / mietbeginn / mietende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buchungen.*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aus Buchung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grundmiete / ust_prozent (7%) / bk_modell (pauschale)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buchungen.betrag_brutto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aus Buchung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citytax_betrag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citytax_saetze × personen × nächte × gueltig_ab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berechnet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forderungen anlegen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typ: miete, faellig_am: checkin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automatisch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 Invoice Ninja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7% USt, WhatsApp + E-Mail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automatisch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CityTax – versioniert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Gemeinde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Satz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Gültig ab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3,00 EUR/Person/Nacht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01.07.2026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 01.07: 0 EUR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Ludwigsburg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 EUR/Person/Nacht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01.07.2026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 01.07: 0 EUR</w:t>
            </w:r>
          </w:p>
        </w:tc>
      </w:tr>
    </w:tbl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Buchungen über Monatswechsel: nur Nächte ab 01.07. berechnen. Nicht komplette Buchung.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OCR-Pipeline (Mistral OCR)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Alle Dokument-Typen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Dokument-Typ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OCR-Output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Ziel-Tabelle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Miete, BK, Laufzeit, Staffel, Kaution, Index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Eingangsrechnung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kostenverteilung_positionen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Lieferant, Betrag, Periode, BK-Art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WEG-Jahresabrechnung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weg_abrechnungen_extern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Positionen KI-klassifiziert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Zählerabrechnung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 + brennwerte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Verbrauch, Brennwert, Preis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Grundsteuerbescheid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kostenverteilung_positionen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Betrag, Periode, Objekt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Handwerkerrechnung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vorgaenge.kosten_ist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Leistung, Betrag, Gewährleistung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Übergabeprotokoll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einheit_uebergaben + forderungen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Schäden, Zählerstände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Exposé (Ankauf)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 + einheiten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Kaufpreis, Fläche, Einheiten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Schufa-Auskunft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Score, Negativmerkmale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Behördenpost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+ vorgaenge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Fristen, Aktenzeichen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WEG-Protokoll (ETV)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+ 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weg_wirtschaftsplaene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Beschlüsse, Fristen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Ausgabe-Formate je Dokument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Gespeichert 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Markdown (Rohtext)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Vollständiger OCR-Text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ocr_verarbeitungen.ocr_raw_md + Paperless _ocr.md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(strukturiert)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Felder + Confidence je Feld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ocr_verarbeitungen.ocr_structured + Paperless _structured.json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DB-Felder (granular)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 in Ziel-Tabellen befüllt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nach Dokument-Typ (mietvertraege, etc.)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 Tags automatisch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Typ, Objekt, Mieter, Periode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 Tag-System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Confidence-Strategie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UI-Anzeige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0.90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Automatisch in DB übernehmen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grün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0.75–0.89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Übernehmen + markieren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gelb – Prüfung empfohlen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0.75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Manuelle Prüfung pflicht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rot – manuell eingeben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Kritische Felder (Miete, Kaution, Betrag)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manuelle Prüfung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rot – immer prüfen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n8n OCR-Flow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Dokument eingeht (Caya/Paperless/E-Mail/Upload)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Mistral OCR API → ocr_raw_md +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Claude API: Dokument-Typ klassifizieren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Claude API: Felder extrahieren (System-Prompt je Typ)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Confidence-Check → auto oder manuelle Prüfung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Paperless: _ocr.md + _structured.json hochladen + Tags setzen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Ziel-Tabellen befüllen (mietvertraege / kostenverteilung /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Alert wenn Prüfung nötig → ERP + Zammad Ticket</w:t>
      </w:r>
    </w:p>
    <w:p>
      <w:pPr>
        <w:spacing w:after="100"/>
      </w:pPr>
    </w:p>
    <w:p>
      <w:pPr>
        <w:pBdr>
          <w:left w:val="single" w:color="2E7D32" w:sz="8" w:space="8"/>
        </w:pBdr>
        <w:shd w:fill="E8F5E9" w:val="clear"/>
        <w:spacing w:after="80"/>
        <w:ind w:left="30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✅  Kosten: $1/1.000 Seiten (Mistral) + ~$0,01/Dokument (Claude) → &lt; 5 EUR/Monat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Verwaltungsverträge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Vergütung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Typischer 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mietverwaltung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Mietobjekte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Prozentual oder pauschal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5-8% Nettomiete / 25-50 EUR/Einheit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weg_verwaltung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Gesamte WEG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Pauschal je WEG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300-600 EUR/Monat + ETV-Honorar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Einzelwohnung in WEG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Pauschal je Einheit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30-60 EUR/Einheit/Monat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KZV-Betrieb R2R/eigen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Prozentual vom Umsatz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15-25% Buchungsumsatz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Mieter-Portal (Phase 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Verknüpfung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Postfach eingehend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BK-Abrechnung, Mieterhöhung, §560, Mahnungen, Infos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portal_nachrichten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Postfach ausgehend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Schadensmeldung, Rückfragen → Zammad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portal_nachrichten + vorgaenge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Mein Vertrag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Aktuelle Miete, nächste Staffel, Kautionsstatus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 + kautionen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Meine Dokumente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BK-Abrechnungen, Mietvertrag, Übergabeprotokoll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 (RLS gefiltert)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Meine Zahlungen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12 Monate, offene Posten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forderungen (RLS gefiltert)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Schadensmeldung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+ Beschreibung → Vorgang P14 automatisch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 + portal_nachrichten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Zählerstand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+ Foto → zaehlerstaende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</w:t>
            </w:r>
          </w:p>
        </w:tc>
      </w:tr>
    </w:tbl>
    <w:p>
      <w:pPr>
        <w:spacing w:after="100"/>
      </w:pPr>
    </w:p>
    <w:p>
      <w:pPr>
        <w:pBdr>
          <w:left w:val="single" w:color="2E75B6" w:sz="8" w:space="8"/>
        </w:pBdr>
        <w:shd w:fill="E3F2FD" w:val="clear"/>
        <w:spacing w:after="80"/>
        <w:ind w:left="300"/>
      </w:pPr>
      <w:r>
        <w:rPr>
          <w:rFonts w:ascii="Arial" w:cs="Arial" w:eastAsia="Arial" w:hAnsi="Arial"/>
          <w:color w:val="0D47A1"/>
          <w:sz w:val="18"/>
          <w:szCs w:val="18"/>
        </w:rPr>
        <w:t xml:space="preserve">ℹ️  PWA, Supabase Auth, Rolle mieter_portal, RLS: nur eigene Einheit. URL: mieter.wimus.de je Marke.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Sonstige Use Cases (geplant)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Inventar/Assets (QR + OCR + AfA)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inventar, asset_zustände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Versicherungsmanagement erweitert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versicherungen, versicherungsschäden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Energieausweis + CO2-Kosten §559b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energieausweise, co2_kosten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DSGVO Löschkonzept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dsgvo_loeschfristen, einwilligungen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Handwerker-Bewertung + Preisspiegel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handwerker_bewertungen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Fahrtenbuch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fahrten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9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Kommunikations-Protokoll (Stimmung)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Erweiterung nachrichten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Leerstandsmanagement erweitert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leerstand_ursachen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 Transkripte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retell_transkripte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 Events (Event-Radar)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revenue_events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ESG-Reporting Portfolio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esg_kennzahlen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Dashboard &amp; UI – Tremor je Seite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Seite/Dashboard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Tremor-Komponenten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Shadcn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AreaChart, DonutChart, BarList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Fälligkeiten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KZV-Projekt-Dashboard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Tracker (Belegung), AreaChart, BarChart, DonutChart, BarList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Nächste Buchungen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AreaChart, BarChart, BarList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Auslaufende Verträge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HV-Dashboard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AreaChart, DonutChart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ETV + BK-Fällig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ProgressBar (je Gewerk), BarChart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Gewerke + Meilensteine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Objekt-Detail (Finanzen)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 (BK 3J), BarChart (BK je Art), Sparklines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Einheiten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 (gestapelt), BarChart (je Einheit), BarList, Sparklines (Zähler)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Abrechnungen fällig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Finanzen-Dashboard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AreaChart, BarChart (OP-Alter), DonutChart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Top-10 offene Posten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BarChart (je Typ)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Alle Fristen sortiert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Workforce-Dashboard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BarChart, AreaChart (Mensch vs. KI)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Top-Akteure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SEO-Dashboard (Phase später)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(4), AreaChart (GA4), BarChart (GSC), DonutChart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Top-Pages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PWA Hausmeister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ProgressBar, KpiCard (minimal)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Heutige Einsätze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10 Spezifikation V502 | 24.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2026-06-24T11:05:43.571Z</dcterms:created>
  <dcterms:modified xsi:type="dcterms:W3CDTF">2026-06-24T11:05:43.588Z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