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5F"/>
          <w:sz w:val="64"/>
          <w:szCs w:val="64"/>
        </w:rPr>
        <w:t xml:space="preserve">WIMUS ERP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Projekt-Übergabedokument – Version 5.0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Prozesse P01–P61 · Datenmodell 82 Tabellen · Architektur · Entwicklungsplan</w:t>
      </w:r>
    </w:p>
    <w:p>
      <w:pPr>
        <w:spacing w:after="6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Württembergische Immobilien Management und Service GmbH (WIMUS)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WIMUS Hausverwaltung  ·  ALFA CAMPUS  ·  ALFA APARTMENTS  ·  ALFA DEVELOPMENT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Stand: 22. Juni 2026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Leitprinzip &amp; Architektur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Credo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Effizienz vor Bürokratie. WIMUS ERP ist eine Schaltzentrale – keine Eigenentwicklung von Funktionalität die es als fertiges Open-Source-Modul gibt.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WIMUS ERP = Cockpit/Schaltzentrale (Next.js +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Fertige Open-Source-Module werden über API angebunden – nie nachgebaut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Pflichtfelder auf Minimum · Standardwerte vorausfüllen · max. 2 Klicks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 übernimmt Erfassungsarbeit (OCR, Vorschläge) → Mensch bestätigt, korrigiert, entscheidet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 von Anfang an – jede Komponente responsive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Lieber 80% automatisch korrekt als 100% manuell perfekt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Technischer Stack (IST-Stand)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16 (App Router), TypeScript, Tailwind, Shadcn/UI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erp.m81s.de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Datenbank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self-hosted (PostgreSQL + RLS)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supa.m81s.de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Dev-Container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claude-dev (Node 22, SSH, Claude Code v2.1.5)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Coolify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github.com/maximusdigital/wimus-erp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Automatisierung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 self-hosted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Projektmanagement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Plane self-hosted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plane.m80s.de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CRM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amoCRM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PMS/Channel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+ Pricelabs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Webhook aktiv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Entwicklungsstand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0 (Auth, Mandanten, Layout) – ✅ abgeschlossen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 (Objekte, Einheiten, Kontakte, Verträge, Dashboard) – ✅ abgeschlossen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2+ – in Entwicklung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Portfolio IST-Stand (Juni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Eigentümer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Dipl.-Kfm. Maxim Moser, §34c GewO, aktiv seit 2007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Standorte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Stuttgart, Ludwigsburg, Esslingen, Kornwestheim, Leonberg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Gesamteinheiten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 (26 WE + 4 GE), davon 2 R2R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Wohnfläche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2.363 m² WF, 385 m² NF, 2.291 m² Grundstück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Brutto-Jahresmiete IST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957.160 EUR (2025)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Marktwert Portfolio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6.943.000 EUR (Sprengnetter/Pricehubble)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Gesamtvaluta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2.760.167 EUR | EK implizit: ~4,18 Mio 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Kapitaldienstrate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13.160 EUR/Monat | Auslastung 46,5%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z.v.E. geschätzt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325.033 EUR | Ø-Steuersatz 37,73%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CAMPUS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 Einheiten, 130.513 EUR p.a., WG/Studenten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 Einheiten, 614.022 EUR p.a., KZV 30–600 EUR/Nacht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900"/>
        <w:gridCol w:w="1200"/>
        <w:gridCol w:w="2226"/>
      </w:tblGrid>
      <w:tr>
        <w:trPr>
          <w:tblHeader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Adresse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Markt EUR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 p.a. EUR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IS17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Ihmlingstr. 17, S-Bad Cannstatt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318.000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83.011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LS17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Ihmlingstr. 17, Stuttgart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408.000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161.805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THS97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Taubenheimstr. 97, S-Bad Cannstatt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177.000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16.950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HS4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Hauffstr. 4, Esslingen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EW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162.000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37.451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AS125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Austraße 125, S-Münster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4WE+2GE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810.000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171.242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BHS16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Bauhofstr. 16, Ludwigsburg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4WE 14Zi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855.000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95.528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SS25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Sirnauer Str. 25, Esslingen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3WE+GE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540.000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49.495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MS13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Murrstr. 13, Kornwestheim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3WE+GA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1.500.000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28.284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SG10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Spreuergasse 10, S-Bad Cannstatt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3WE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873.000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40.056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BS21A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Bietigheimer Str. 21A, S-Zuffenhausen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EFH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1.300.000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136.704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BS18A1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Beilsteiner Str. 18A, Stuttgart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R2R KZV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102.195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BS5A2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Beilsteiner Str. 5A2, Kornwestheim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R2R KZV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34.439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Gesellschaftsstruktur &amp; Steueroptimierung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Zielstruktur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Maxim Moser privat: Bestandsobjekte, 10-Jahres-Frist §23 EStG, 3-Objekt-Grenze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WIMUS GmbH (operativ): Hausverwaltung §34c, ALFA DEVELOPMENT, Kleinprojekte, Dienstleistungen an vvGmbH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vvGmbH (vermögensverwaltend): Bestandsobjekte langfristig, KZV-Betrieb, 15% KSt + Soli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Kritische Fristen – Pflicht-Tracking im ERP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Frist/Grenze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ERP-Aktion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3-Objekt-Grenze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Max. 3 Verkäufe in 5 Jahren privat → sonst gewerblicher Grundstückshandel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Zähler + Warnung bei Annäherung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10-Jahres-Frist §23 EStG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 &lt; 10J = steuerpflichtiger Spekulationsgewinn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§6b EStG-Rücklage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Reinvestitionsfrist 4 Jahre (6J bei Neubau), nur Betriebsvermögen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Frist-Tracker je Rücklage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15%-Grenze §6 Abs.1 Nr.1a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Renovierungskosten Jahre 1–3 max. 15% der AfA-Bemessungsgrundlage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Objekt, kumuliert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Nutzen-Lasten-Übergang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der 3-Jahres-Frist – NICHT Notartermin!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Separates Pflichtfeld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Intercompany §42 AO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Rechnungsstellungs-Timing → Ertragsperiode (Fremdvergleich)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Leistungsdatum vs. Rechnungsdatum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AfA-Optimierung KPA/RND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Gutachten für höhere AfA-Bemessungsgrundlage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Potenzial-Anzeige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§558 Miete BW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Kappungsgrenze 15% in 3 Jahren (nicht 20%!)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Einheit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AG-Streitwert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 01.01.2026: bis 10.000 EUR kein Anwaltszwang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Automatische Prüfung bei Rechtsfall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Vollständige Prozessliste P01–P61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Objekterwerb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 Objektankauf + P01a DCF-Kalkulation (Kaufpreis, NK, AfA-Basis, 15%-Grenze-Warnfeld, Kennzahlen: Brutto-/Nettorendite, KPF, Cashflow)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P01b Finanzierung (EK, 2 Darlehen, Zins/Tilgung/Annuität, Zinsbindung, Ersatztilgung ETF/Bausparen, BelA Ist/Soll)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P01c Grundbuch/Sicherungsrechte (Abt. I/II/III, Grundschuld, Zweckerklärung, Bürgschaft, Abtretung Mieteinnahmen)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P01d Phasenmodell bei Entwicklung (je Phase: Einheiten-Mix, Ertragsrechnung, GuV, Rendite – konsolidiert)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P02 Objektanmietung R2R + P02b Pachtmodelle (Anlaufzeit, Fest/Umsatzpacht, Optionsrechte, Zuschüsse, Zweckentfremdungsgenehmigung)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P21b KPA/RND-Optimierung (Kaufpreisaufteilungs-Gutachten, Restnutzungsdauer-Gutachten, Finanzamt-Einreichung)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P42 Steuerliche Strukturierung · P42b Intercompany-Fristenoptimierung · P42c 15%-Grenze-Optimierung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P49 Gesellschaftsstruktur &amp; ALFA DEVELOPMENT (Haltestrategie, Durchreichen, §6b)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P48b Bank-Reporting/Bonitätsnachweis · P48c Bank-Präsentation Ein-Klick-PDF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Objektentwicklung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P03 Objektentwicklung: HOAI-Phasen LPH 1–9, Gewerke-Gantt, DIN 276 KG 100–700, Nachkalkulation Soll/Ist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P13 Zählermanagement + P13b Turnusablesung (Zeitreihen, Interpolation, Anomalie-Erkennung)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P33 Objekt-Onboarding · P38 Quartalsbegehung · P39 Außenanlagenpflege (Winterdienst Nachweispflicht)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P41 Asset-Register (Möbel/Werkzeug/Lager/Fahrzeuge, QR-Code) · P41b Werkzeugverwaltung (Entnahme/Rückgabe)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P46 Projektabwicklung (Plantafel, Aufmaß mobil, Nachkalkulation, Regiebericht)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P53 Grundrissoptimierung KI (3→4 Zimmer, Durchgangszimmer, ROI je Variante, Claude Vision)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P54 HOAI/Ausschreibung/BKI-Kostendaten (LV-Erstellung, Preisspiegel, Plausibilitätscheck)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Marketing &amp; Akquise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P16 Marketing &amp; Inserate (IS24, Kleinanzeigen, WG-Gesucht, HousingAnywhere, OTAs, eigene Websites)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P36 Revenue Management (KZV Dynamic Pricing Pricelabs, LZV Mietspiegel/VPI, Event-Radar Ticketmaster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P12 Akquise Neueigentümer (Pipeline A) · P45 Tippgeber &amp; Provisionen (alle Modelle)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P55 Digitale Aushänge je Objekt · P58 Vertriebsmanagement (Maklerverträge §34c, Exposé-Varianten, Cost-per-Lead)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Bewerberauswahl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P17 Bewerberauswahl (Bonität, Schufa, Einkommens-OCR, KdU-Check SGB II/XII, Scoring Grün/Gelb/Rot, DSGVO-Löschfrist)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Vertragsschluss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V01 Standard · V02 Befristet · V03 KZV (7% USt, Beds24) · V04 Gewerbe · DocuSeal · Widerrufsbelehrung 14 Tage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Einzug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Digitale Übergabe LZV (PWA, offline, Kamera, OCR Zählerstände, Signatur-Pad → Paperless)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B05 Vermieterbescheinigung §19 BMG · P26 Schlüssel/Zugangsverwaltung · P27 Kautionsverwaltung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Laufendes Mietverhältnis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P06/P07 KZV Zero-Touch: Beds24→n8n→TTLock→Tuya→WhatsApp→Rechnung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P08 WEG-Verwaltung (Hausgeld, Wirtschaftsplan, Eigentümerversammlung, Beschluss-Sammlung, Umlaufbeschluss online)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P09 Betriebskosten &amp; Abrechnung · P10 Mahnwesen 5-stufig · P10b OP-Management (finAPI/CAMT.053)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P11 Unified Inbox (E-Mail, SMS, WhatsApp, Telefon via Zammad) · P14 Vorgangsmanagement · P15 Plantafel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P22 Versicherungsmanagement · P24 Dienstleister · P25 Compliance &amp; Prüfpflichten · P31 Wartungsmanagement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P34 Notfall · P37 Rechts-Management (Recht Mike Skill) · P40 Verwaltungsvertrag · P47 Digitales Unternehmen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P50 Mietentwicklung §558/§559 (BW Kappungsgrenze 15%!) · P50b Sofagespräch §557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P51 Entmietung (sanft/hart) · P52 KI-Rechtsabwicklung intern (AG &lt; 10.000 EUR ab 01.01.2026)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Vertragsbeendigung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Kündigung, MAV01–MAV03 (Ablöse 3–6 Monatsmieten) · Digitale Übergabe Auszug · P27 Kautionsabrechnung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KZV – Vollautomatischer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Beds24-Webhook → n8n: Buchung, Gästeprofil, TTLock-Code (dynamisch), Tuya-Szene, WhatsApp-Bestätigung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Reinigung: Fotos Vorher/Nachher, Inventarcheck, Schaden → Vorgang → Schadensabwicklung gestaffelt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CityTax: Stuttgart 3 EUR / Ludwigsburg 2 EUR (Person/Nacht), manuelle Quartalsexport-Datei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Digitaler Meldeschein (Beherbergungspflicht, Reisepassnummer → DSGVO-Löschkonzept)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Querschnittsprozesse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P18 DATEV-Export · P19 USt-Voranmeldung · P20 Jahresabschluss · P21 AfA-Verwaltung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P23 Eigentümerreporting · P28 HR (ABS-RZ, Kimai, urlaubsverwaltung) · P29 DMS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P48 Reporting (Bank, GoBD) · P56 Steuerberater-Zugang · P57 CSV Import/Export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Neue Prozesse P58–P61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P58 Vertriebsmanagement (Kanalverwaltung, Maklerverträge §34c, Exposé-Varianten je Kanal, Interessenten-Tracking DSGVO, Cost-per-Lead)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P59 Mobiles Workforce-Management: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Checklisten-Builder: Schritttypen foto_ki/foto/checkbox/text/zahl/sprache, Turnus-Logik, KI-Prüfkriterien, max_versuche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MA-App PWA (offline): Antippen + Fotografieren + Sprechen (Whisper DE/EN/RU)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Rekursiver KI-Prüf-Loop (max. 3 Versuche, Sofort-Feedback, Eskalation)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Manager-Cockpit Echtzeit: alle Einsätze, Fortschritt, Direktkontakt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P60 Workforce-Analytics &amp; Make-or-Buy (Vollkostenvergleich intern/extern, Break-Even, TZ-Verwaltung)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P61 Qualitätskontrolle &amp; Schadensabwicklung (Bewertungsmanagement, Incident Report, Prozess-Bibliothek)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Datenmodell – 82 Tabellen (Schema: wimus)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Legende / Konventionen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PK = Primärschlüssel (UUID DEFAULT gen_random_uuid())  |  🟢 FK = Fremdschlüssel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Tabellen: created_at / updated_at TIMESTAMPTZ  ·  mandant_id FK auf allen Kerntabellen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IMMER getrennt: strasse, hausnummer, plz, stadt, stadtteil, land  ·  Anrede: Herr/Frau/Firma/Keine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mandant_isolation Policy auf allen Tabellen  ·  0 FK-Fehler (vollständig geprüft)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Gruppe 1: Kern-Entitäten (13 Tabellen)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mandanten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 · UNIQUE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rechtsform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strasse / hausnummer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plz / stadt / land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iban / datev_mandant_nr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ci_farbe_primary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VARCHAR(7)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logo_url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gesellschaften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privat/operativ/vvGmbH/GbR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versteuerungsart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ust_id / steuernummer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objekte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strasse / hausnummer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plz / stadt / stadtteil / land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latitude / longitude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 · GPS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 / baujahr / 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VARCHAR/INT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haltestrategie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nutzen_lasten_datum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· ≠ notartermin!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notartermin_datum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marktwert_sprengnetter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marktwert_pricehubble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zweckentfremdung_nr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zweckentfremdung_bis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kuerzel / bezeichnung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 / lage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flaeche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zimmer / schlafzimmer / baeder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max_personen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verwendungszweck_code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etage_beschreibung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keybox_vorhanden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keybox_standort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keybox_pin_statisch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· Hauszugang, statisch!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anleitung_url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gaestemappe_url_slug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firma_id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 (self-ref)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kontakt_typ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person/firma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anrede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Herr/Frau/Firma/Keine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vorname / nachname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firmenname / rechtsform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strasse / hausnummer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plz / stadt / land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email / telefon_mobil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iban / bic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debitor_nr / kreditor_nr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zahlungsziel_tage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ist_mieter / ist_eigentuemer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ist_dienstleister / ist_makler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ist_tippgeber / ist_bank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dsgvo_datenweitergabe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 · Pflicht!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sprache / 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VARCHAR/BOOLEAN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benutzer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 · = Supabase Auth UUID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email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 UNIQUE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vorname / nachname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mfa_aktiv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letzter_login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– Gruppe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gesellschaften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Mandant betreibt mehrere Gesellschaften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Mandant verwaltet mehrere Objekte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Kontakte gehören zu einem Mandanten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gesellschaften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Eine Gesellschaft besitzt mehrere Objekte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Objekt enthält mehrere Einheiten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 (self)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Firma → Ansprechpartner via firma_id</w:t>
            </w:r>
          </w:p>
        </w:tc>
      </w:tr>
    </w:tbl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Gruppe 2: Verträge, Buchungen, Bankkonten (13 Tabellen)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mietvertraege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vertragstyp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V01/V02/V03/V04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mietbeginn / mietende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grundmiete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bk_pauschale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heizkosten_pauschale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strompauschale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faelligkeitsregel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kdu_relevant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kuendigungsausschluss_bis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widerrufs_frist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staffel_config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 · auto Trigger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buchungen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gast_id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checkin / checkout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personen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betrag_brutto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ust_prozent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 · default 7.00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kanal / beds24_id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apartment_pin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· TTLock, DYNAMISCH!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keybox_pin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 · STATISCH aus Einheit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tuya_szene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gaestemappe_token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· für URL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meldeschein_reisepass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citytax_betrag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 / 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kautionen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bankkonto_id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anlage_art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zinssatz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zinsen_kumuliert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rueckzahlung_datum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mahnungen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mietvertrag_id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stufe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· 1–5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hauptforderung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zinsen / gebuehren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gesamtforderung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faellig_am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mahngericht_az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 / 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bankkonten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kontoinhaber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bank / iban / bic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kontotyp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finapi_account_id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saldo_aktuell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ist_hauptkonto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sepa_mandate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bankkonto_id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mandatsreferenz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 UNIQUE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glaeubiger_id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mandatstyp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einmalig/wiederkehrend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ausgestellt_am / widerruf_am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– Gruppe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Eine Einheit hat mehrere Verträge (historisch)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Kontakt ist Mieter mehrerer Verträge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kautionen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Vertrag hat eine Kaution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mietvertraege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Vertrag hat mehrere Mahnungen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KZV: Einheit hat viele Buchungen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Gast hat mehrere Buchungen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bankkonten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kautionen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Kautionskonto je Kaution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sepa_mandate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 erteilt Lastschriftmandat</w:t>
            </w:r>
          </w:p>
        </w:tc>
      </w:tr>
    </w:tbl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Gruppe 3: Objekt-Details, Ausstattung, Zähler, Custom Fields (19 Tabellen)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Ausstattung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ausstattungs_kategorien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reihenfolge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ausstattungen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kategorie_id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icon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airbnb_id / booking_id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ist_standard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einheit_ausstattungen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ausstattung_id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vorhanden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notiz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gegen_aufpreis / auf_anfrage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Einheit-Details (alle versioniert via gueltig_ab)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einheit_hausregeln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sprache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haustiere_erlaubt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rauchen_erlaubt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check_in_von / check_in_bis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check_out_bis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ruhezeiten_von / ruhezeiten_bis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max_gaeste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rauch_strafe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muell_strafe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unautorisiert_preis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gueltig_ab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· VERSIONIERUNG!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gaestemappe_inhalte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sprache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 · de/en/ru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checkin_system_text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checkin_anleitung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parken_text / parken_maps_url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TEXT/VARCHAR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notruf_polizei / notruf_feuerwehr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wifi_ssid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wifi_passwort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verschlüsselt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hausregeln_text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sonstige_infos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gueltig_ab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einheit_sicherheit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rauchmelder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kohlenmonoxidmelder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feuerlöscher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ueberwachungskamera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kamera_beschreibung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aufzug_vorhanden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barrierefrei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parkplatz_beschreibung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gueltig_ab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Gästemappe – Template-Variablen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{{GAST_NAME}}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 → kontakte.nachname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SCHRAND KLAUS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{{PIN}}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buchungen.apartment_pin (TTLock, dynamisch)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921883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{{KEYBOX_PIN}}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buchungen.keybox_pin ← einheiten.keybox_pin_statisch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2606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{{CHECKIN_DATUM}} / {{CHECKOUT_DATUM}}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buchungen.checkin / .checkout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17.05.2026 / 30.06.2026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{{CHECKOUT_BIS}}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einheit_hausregeln.check_out_bis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10:00 Uhr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{{GEBAEUDENAME}} / {{ETAGE}}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einheiten.bezeichnung / .lage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AS125 / 2.OG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{{EINHEIT_LABEL}}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einheiten.kuerzel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AS125A2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{{WIFI_SSID}} / {{WIFI_PASS}}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gaestemappe_inhalte.wifi_ssid / .wifi_passwort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AlfaWLAN / ***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{{MAPS_URL}}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gaestemappe_inhalte.parken_maps_url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maps.app.goo.gl/...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{{WHATSAPP}} / {{EMAIL}}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 → kommunikationskanaele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+49 7154 18936115</w:t>
            </w: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Zähler &amp; Versorger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versorgervertraege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objekt/einheit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bezug_id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· polymorphisch!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kategorie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strom/gas/wasser/...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anbieter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vertragspartner_id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kundennummer / vertragsnummer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vertragsbeginn / vertragsende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preis_monatlich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zaehler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objekt/einheit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bezug_id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· polymorphisch!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versorgervertrag_id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strom/gas/wasser/waerme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zaehlernummer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einbauort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eichpflicht_bis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zaehlerstaende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zaehler_id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DECIMAL(12,4)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einheit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kWh/m³/MWh/GJ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ablesedatum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ableseart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manuell/funk/foto/api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foto_url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abgelesen_von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ist_schaetzwert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validiert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INDEX(zaehler_id, ablesedatum) → schnelle Zeitreihen. Interpolation bei ist_schaetzwert=true. Anomalie: +80% vs. Ø → Alert.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Custom Fields – generisches Erweiterungssystem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26"/>
        <w:gridCol w:w="3100"/>
        <w:gridCol w:w="2400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custom_field_definitionen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objekt/einheit/kontakt/buchung/mietvertrag/vorgang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feldname / feldschluessel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feldtyp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text/zahl/datum/bool/url/email/auswahl/textarea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pflichtfeld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auswahl_optionen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reihenfolge / gruppe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/ VARCHAR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42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custom_field_werte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definition_id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bezug_typ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bezug_id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· polymorphisch!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 · alles als Text, Typ via Definition</w:t>
                  </w:r>
                </w:p>
              </w:tc>
            </w:tr>
          </w:tbl>
          <w:p/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– Gruppe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ausstattungs_kategorien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ausstattungen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Kategorien-Bibliothek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ausstattungen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N:M via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einheit_ausstattungen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 ↔ Ausstattung (mit Zusatzinfos)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einheit_hausregeln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Sprache, versioniert via gueltig_ab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gaestemappe_inhalte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Sprache (de/en/ru) + Version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versorgervertraege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 Vertrag hat mehrere Zähler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zaehlerstaende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Zeitreihe mit INDEX(zaehler_id, ablesedatum)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zaehler_umrechnungen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m³→kWh je Gültigkeitszeitraum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custom_field_definitionen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custom_field_werte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 definiert Felder ohne Entwickler</w:t>
            </w:r>
          </w:p>
        </w:tc>
      </w:tr>
    </w:tbl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Gruppe 4: Steuer, AfA &amp; Szenarien (11 Tabellen)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565A0" w:sz="3"/>
                    <w:left w:val="single" w:color="1565A0" w:sz="3"/>
                    <w:bottom w:val="single" w:color="1565A0" w:sz="3"/>
                    <w:right w:val="single" w:color="1565A0" w:sz="3"/>
                  </w:tcBorders>
                  <w:shd w:fill="1565A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afa_stamm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UNIQUE · 1:1 zu objekte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kaufpreis_gesamt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grundstuecksanteil_pct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grundstuecksanteil_eur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gebaeudeanteil_eur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afa_bemessungsgrundlage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afa_satz_standard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 · default 2%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afa_satz_optimiert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afa_satz_aktiv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DECIMAL(5,4)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565A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rnd_gutachten / kpa_gutachten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565A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afa_buchungen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afa_stamm_id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szenario_id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wirtschaftsjahr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afa_betrag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restbuchwert_anfang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restbuchwert_ende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ist_oder_plan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IST/PLAN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renovierungskosten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massnahme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kosten_netto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leistungsdatum / rechnungsdatum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innerhalb_3j_frist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zaehlt_zur_grenze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 · 15%-Grenze §6!</w:t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veraeusserungen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 / 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datum / preis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DATE/DECIMAL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haltedauer_jahre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steuerfrei_10j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paperless_id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VARCHAR(100)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reinvestitionsruecklagen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gebildet_aus_verkauf_id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veraeusserungen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uebertragen_auf_objekt_id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objekte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DECIMAL(15,2)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gebildet_am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frist_regulaer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· 4 Jahre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frist_neubau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 · 6 Jahre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intercompany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leistende_gesellschaft_id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empfangende_gesellschaft_id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leistungsdatum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rechnungsdatum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 / leistungsart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DECIMAL/TEXT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fremdvergleich_ok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verzoegerungsgrund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– Gruppe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afa_stamm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Jedes Objekt hat genau einen AfA-Stamm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afa_stamm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afa_buchungen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Jährliche AfA IST und PLAN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szenarien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afa_buchungen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Simulierte Szenarien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renovierungskosten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15%-Grenze kumuliert ab nutzen_lasten_datum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veraeusserungen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reinvestitionsruecklagen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§6b-Rücklage aus Verkaufsgewinn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gesellschaften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 (leistend)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intercompany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§42 AO: Timing Leistung vs. Rechnung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gesellschaften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 (empfangend)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intercompany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Empfangende Gesellschaft</w:t>
            </w:r>
          </w:p>
        </w:tc>
      </w:tr>
    </w:tbl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Gruppe 5: Vorgänge, Workforce, Vertrieb (21 Tabellen)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Vorgänge &amp; Checklisten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C62828" w:sz="3"/>
                    <w:left w:val="single" w:color="C62828" w:sz="3"/>
                    <w:bottom w:val="single" w:color="C62828" w:sz="3"/>
                    <w:right w:val="single" w:color="C62828" w:sz="3"/>
                  </w:tcBorders>
                  <w:shd w:fill="C6282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vorgaenge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gemeldet_von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handwerker_id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prioritaet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notfall/hoch/normal/niedrig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VARCHAR(30)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kostentraeger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kosten_geschaetzt / kosten_ist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leistungsdatum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aktenzeichen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 · AUTO via Trigger!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C62828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lfd_nr / paperless_id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C62828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INT/VARCHAR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checklisten_vorlagen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gilt_fuer_typ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sprache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checklisten_positionen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vorlage_id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block_nr / position_nr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bezeichnung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foto_ki/foto/checkbox/text/zahl/sprache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haeufigkeit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immer/turnus/buchungen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turnus_tage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vorgabe_foto_url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ki_kriterien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TEXT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ki_schwellenwert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DECIMAL(4,2) · default 0.75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max_versuche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 · default 3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Workforce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7B3F8C" w:sz="3"/>
                    <w:left w:val="single" w:color="7B3F8C" w:sz="3"/>
                    <w:bottom w:val="single" w:color="7B3F8C" w:sz="3"/>
                    <w:right w:val="single" w:color="7B3F8C" w:sz="3"/>
                  </w:tcBorders>
                  <w:shd w:fill="7B3F8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ma_profile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kontakte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intern/extern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stundenlohn_brutto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DECIMAL(8,2)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ag_sv_pct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DECIMAL(5,2) · default 21%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urlaubstage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bereich / qualifikationen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VARCHAR/JSONB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score_aktuell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7B3F8C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7B3F8C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0D7680" w:sz="3"/>
                    <w:left w:val="single" w:color="0D7680" w:sz="3"/>
                    <w:bottom w:val="single" w:color="0D7680" w:sz="3"/>
                    <w:right w:val="single" w:color="0D7680" w:sz="3"/>
                  </w:tcBorders>
                  <w:shd w:fill="0D768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einsaetze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vorgang_id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ma_profile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geplant_start / geplant_ende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ist_start / ist_ende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TIMESTAMPTZ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zeitvorgabe_ki_min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0D7680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score_beitrag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0D7680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5D4037" w:sz="3"/>
                    <w:left w:val="single" w:color="5D4037" w:sz="3"/>
                    <w:bottom w:val="single" w:color="5D4037" w:sz="3"/>
                    <w:right w:val="single" w:color="5D4037" w:sz="3"/>
                  </w:tcBorders>
                  <w:shd w:fill="5D403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objekt_zuweisungen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ma_profile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bereich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reinigung/hausmeister/handwerk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rolle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primaer/vertretung/pool/ueberhang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prioritaet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INT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gueltig_von / gueltig_bis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5D4037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5D4037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Vertrieb &amp;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3"/>
        <w:gridCol w:w="2900"/>
        <w:gridCol w:w="213"/>
        <w:gridCol w:w="280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1F4E5F" w:sz="3"/>
                    <w:left w:val="single" w:color="1F4E5F" w:sz="3"/>
                    <w:bottom w:val="single" w:color="1F4E5F" w:sz="3"/>
                    <w:right w:val="single" w:color="1F4E5F" w:sz="3"/>
                  </w:tcBorders>
                  <w:shd w:fill="1F4E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pipelines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name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VARCHAR(255)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bereich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VARCHAR(50)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modus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auto/manuell/hybrid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1F4E5F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aktiv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1F4E5F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BOOLEAN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5B6" w:sz="3"/>
                    <w:left w:val="single" w:color="2E75B6" w:sz="3"/>
                    <w:bottom w:val="single" w:color="2E75B6" w:sz="3"/>
                    <w:right w:val="single" w:color="2E75B6" w:sz="3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deals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pipeline_id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phase_id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pipeline_phasen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kontakt_id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einheit_id / objekt_id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buchung_id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KZV Auto-Pipeline!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kanal / wert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VARCHAR/DECIMAL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zustaendig_id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benutzer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5B6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verlauf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5B6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JSONB</w:t>
                  </w:r>
                </w:p>
              </w:tc>
            </w:tr>
          </w:tbl>
          <w:p/>
        </w:tc>
        <w:tc>
          <w:tcPr>
            <w:tcW w:type="dxa" w:w="2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1380"/>
              <w:gridCol w:w="1500"/>
            </w:tblGrid>
            <w:tr>
              <w:trPr>
                <w:tblHeader/>
              </w:trPr>
              <w:tc>
                <w:tcPr>
                  <w:gridSpan w:val="3"/>
                  <w:tcBorders>
                    <w:top w:val="single" w:color="2E7D32" w:sz="3"/>
                    <w:left w:val="single" w:color="2E7D32" w:sz="3"/>
                    <w:bottom w:val="single" w:color="2E7D32" w:sz="3"/>
                    <w:right w:val="single" w:color="2E7D32" w:sz="3"/>
                  </w:tcBorders>
                  <w:shd w:fill="2E7D3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provisionen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5"/>
                      <w:szCs w:val="15"/>
                    </w:rPr>
                    <w:t xml:space="preserve">PK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9E6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17"/>
                      <w:szCs w:val="17"/>
                    </w:rPr>
                    <w:t xml:space="preserve">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9E6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PK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mandant_id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partner_id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FK · → vertriebspartner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referenz_typ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ENUM · deal/mietvertrag/buchung/verkauf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>FK</w:t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E8F5E9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17"/>
                      <w:szCs w:val="17"/>
                    </w:rPr>
                    <w:t xml:space="preserve">referenz_id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E8F5E9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UUID · polymorphisch!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betrag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DECIMAL(10,2)</w:t>
                  </w:r>
                </w:p>
              </w:tc>
            </w:tr>
            <w:tr>
              <w:tc>
                <w:tcPr>
                  <w:tcW w:type="dxa" w:w="220"/>
                  <w:tcBorders>
                    <w:top w:val="none"/>
                    <w:left w:val="single" w:color="2E7D32" w:sz="3"/>
                    <w:bottom w:val="single" w:color="DDDDDD" w:sz="1"/>
                    <w:right w:val="none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1380"/>
                  <w:tcBorders>
                    <w:top w:val="none"/>
                    <w:left w:val="none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40"/>
                    <w:left w:type="dxa" w:w="8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faelligkeit / status</w:t>
                  </w:r>
                </w:p>
              </w:tc>
              <w:tc>
                <w:tcPr>
                  <w:tcW w:type="dxa" w:w="1500"/>
                  <w:tcBorders>
                    <w:top w:val="none"/>
                    <w:left w:val="none"/>
                    <w:bottom w:val="single" w:color="DDDDDD" w:sz="1"/>
                    <w:right w:val="single" w:color="2E7D32" w:sz="3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DATE/VARCHAR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Beziehungen – Gruppe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Beziehung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vorgaenge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einsaetze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 hat mehrere MA-Einsätze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ma_profile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einsaetze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 führt mehrere Einsätze aus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N:M via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objekt_zuweisungen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 ↔ MA (Pflege, Reinigung, Handwerk)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checklisten_vorlagen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checklisten_positionen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Vorlage enthält Positionen (mit KI-Kriterien)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checklisten_vorlagen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checklisten_ausfuehrungen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Jede Ausführung einer Checkliste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checklisten_ausfuehrungen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checklisten_ergebnisse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Ergebnisse je Position je Ausführung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pipeline_phasen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 hat mehrere Phasen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deals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 enthält Deals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deals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KZV: Buchung = automatischer Deal (buchung_id)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provisionen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N:1 polymorphisch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deals/mietvertraege/buchungen/veraeusserungen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Provision aus verschiedenen Abschlusstypen</w:t>
            </w:r>
          </w:p>
        </w:tc>
      </w:tr>
    </w:tbl>
    <w:p>
      <w:r>
        <w:br w:type="pag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Aktenzeichen-Generator (PostgreSQL Trigger)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Automatisch bei INSERT in vorgaenge, wenn aktenzeichen IS NULL. Format: YYYY + mandant.kuerzel + objekt.kuerzel + einheit.kuerzel + LfdNr(2-stellig)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YYYY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EXTRACT(YEAR FROM NOW())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mandant.kuerzel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mandanten.kuerzel (frei definierbar)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objekt.kuerzel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objekte.kuerzel (frei definierbar)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einheit.kuerzel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einheiten.kuerzel (frei definierbar)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LfdNr (2-stellig)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LPAD(lfd_nr::VARCHAR, 2, '0') – je Objekt/Jahr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Ergebnis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Zusammengesetzt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2025IS17A1WH01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Gesamt-Übersicht Datenmodell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Tabellen gesamt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FK-Fehler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(alle Foreign Keys vollständig geprüft)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Polymorphische Referenzen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5: versorgervertraege, zaehler, custom_field_werte, objekt_emails, geraete (bezug_typ + bezug_id)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Versionierte Tabellen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einheit_hausregeln, einheit_sicherheit, gaestemappe_inhalte (via gueltig_ab)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Zeitreihen-Index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zaehlerstaende: INDEX(zaehler_id, ablesedatum)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Aktenzeichen-Trigger (vorgaenge), 18 updated_at Trigger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Policies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mandant_isolation auf allen Kerntabellen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Seed-Rollen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Rollen (superadmin, steuerberater, mandant_admin, verwalter, buchhalter, hausmeister, reinigungskraft, aussendienst, lesezugriff, eigentuemer_portal, mieter_portal, gast_portal)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Kritisch: zwei PIN-Codes je Buchung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keybox_pin (statisch, Hauszugang aus einheiten.keybox_pin_statisch) ≠ apartment_pin (TTLock, dynamisch generiert je Buchung)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DSGVO-kritisch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buchungen.meldeschein_reisepass → Löschkonzept. kontakte.dsgvo_datenweitergabe Pflicht.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Technische Basis – 27 Module via API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WIMUS ERP bindet fertige Module an, baut sie nicht nach.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426"/>
      </w:tblGrid>
      <w:tr>
        <w:trPr>
          <w:tblHeader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TB#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Multi-Brand/Mandanten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RLS + mandant_id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 Schema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IMAP/SMTP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Mandant eigenes Postfach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seven.io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GreenAPI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Automatisierung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 self-hosted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Channel/PMS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+ Pricelabs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Zugänge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TTLock G5-Gateway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Hardware bestellt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Bankanbindung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finAPI / CAMT.053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sipgate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KI-Telefon Phase 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KI-Support-Layer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Smart Home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Tuya Cloud API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Dateispeicher/Kalender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Nextcloud WebDAV/CalDAV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Vorhanden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DMS/OCR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Paperless-ngx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Unterschriften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DocuSeal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Rechnungen/DATEV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Invoice Ninja SKR03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Support/Ticketing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Zammad (iFrame/SSO)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Digitale Übergabe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Eigene PWA (offline)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bauen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digitalisieren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Caya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Lohnabrechnung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ABS-RZ absPortal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Im Einsatz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Zeiterfassung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Kimai (Coolify)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Urlaub/Abwesenheit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urlaubsverwaltung.cloud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Bauprojekte/Gantt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OpenProject Community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CRM/Pipeline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amoCRM (bestehend)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Marktwert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Sprengnetter/Pricehubble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Manuell für MVP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KI-OCR Dokumente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OCR 3 (Batch $1/1000 Seiten)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KI-Vision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Gemini Flash + Claude Sonnet Vision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KI-Agenten (13 Agenten, n8n + Claude API)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Eskalationsregel: Betrag &gt;X EUR, rechtliche Sachverhalte, KI-Konfidenz &lt;70%, unbekannte Situation → immer Mensch.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4626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Kernaufgabe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Posteingang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Nachricht (alle Kanäle)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Klassifizieren, zuordnen, Antwortvorschlag, Eskalation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Buchungs-Agent KZV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Buchung, TTLock, Tuya, WhatsApp, Reinigung, Rechnung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Mahnwesen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/ Fälligkeit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Mahnstufe, Dokument, versenden, Mahnbescheid vorbereiten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Dokument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Neues Dok (Paperless/Caya)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Typ, Metadaten, ablegen, Handwerkerrechnungen scannen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Vorgänge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Schadensmeldung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Priorität, Handwerker, Auftrag, Preisspiegel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Bewerber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Mietbewerbung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Vollständigkeit, Einkommen-OCR, KdU-Check, Scoring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Wartung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/ Kalender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 (Rauchmelder/TÜV/Fahrzeuge), Vorgang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Monatlich/Quartal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Eigentümer-Report, Bank-Präsentation, GoBD-Paket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06:00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Pricelabs, LZV Mietspiegel, §558-Potenzial, Event-Radar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 (Recht Mike)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Event-basiert + täglich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Fristenüberwachung, BGH-Monitor, AG-Klageschrift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FIBU/Mieteingang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nach Bankimport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finAPI/CAMT, OP-Abgleich, Mahnwesen-Trigger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Grundriss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Neues Objekt / Exposé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Vision: Zimmer-Splitting, Durchgangszimmer, ROI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Rechtsabwicklung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Rechtsfall eröffnet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Mahnbescheid, Klageschrift AG (&lt;10.000 EUR), Abmahnung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8. Entwicklungsplan mit Claude Code (12 Phasen)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0 und Phase 1 sind abgeschlossen. MVP nach Phase 3 (~2 Wochen ab jetzt). Vollständig nach ~7–8 Wochen.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Dauer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– Fundament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CLAUDE.md, vollständiges DB-Schema (1 Migration!), Auth + MFA, Mandanten-Switching, RLS, Seed-Daten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– Core Immobilien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Objekte, Einheiten, Kontakte, Verträge (V01–V04), Dashboard KPIs, echte Seed-Daten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– Finanzen &amp; Komm.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OP-Management, CAMT/finAPI, Mahnwesen 5-stufig, Invoice Ninja, Zammad Unified Inbox, Kommunikationskanäle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– KZV Vollautom.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Beds24-Webhook, TTLock-Code, Tuya, WhatsApp-Flow, Reinigungsauftrag, Rechnung 7% USt → MVP LIVE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– Vorgänge &amp; Projekte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Vorgangsmanagement P14, Plantafel P15, OpenProject, Asset-Register QR-Code, Wartungsfristen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– DMS &amp; Dokumente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Paperless-ngx API, Caya, DocuSeal-Signatur, Digitale Übergabe PWA (offline), DMS überall anhängbar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– KI-Agenten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Agenten 1–13 via n8n + Claude API, Posteingang, Mahnwesen, FIBU, Revenue, Rechts-Agent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– Reporting &amp; Bank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Portfolio-Dashboard, Selbstauskunft IST Ein-Klick-PDF, Bank-Präsentation, DATEV-Export, GoBD-Paket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– Akquise &amp; Pipelines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Pipelines Kanban (A–D), DCF-Kalkulator interaktiv, Phasenmodell, Grundriss-KI, Tippgeber-Provisionen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– HR &amp; Zeiterfassung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Kimai API, urlaubsverwaltung, MA-Profile, ABS-RZ CSV-Export, Fahrtenbuch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– Portale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Mieter-Portal (Schadensmeldung/Dokumente), Eigentümer-Portal, KZV Gäste Self-Check-in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 – Steuer &amp; Compliance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AfA-Verwaltung, KPA/RND-Tracking, Steuerfristen-Ampeln, DSGVO-Löschkonzept, §6b-Rücklage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– Telefon KI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 Setup (je Marke, DE/EN/RU), Webhook→n8n→Vorgang/Lead, 24/7 Erreichbarkeit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Tage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9. Sicherheitskonzept &amp; DSGVO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Sofort / MVP-Pflicht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RLS in Supabase von Tag 1 (mandant_id-Isolation auf Datenbankebene)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MFA Pflicht alle internen User (Supabase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Service-Role-Key nur serverseitig (nie im Frontend/Browser)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Keine Secrets im Code/Repo (Coolify Environment Variables)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TLS überall (Traefik SSL) · SSH Key-only, kein Passwort-Login, Fail2Ban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Laufend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Webhook-Signatur-Verifizierung (Beds24, GreenAPI, Forminator)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Sensible Felder verschlüsselt (Ausweisnummern, Bankdaten – Supabase Vault/pgcrypto)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3-2-1 Backup (3 Kopien, 2 Medien, 1 offsite) + regelmäßiger Restore-Test!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Audit-Log unveränderlich · GoBD-Paket (GDPdU/IDEA-Export, Verfahrensdokumentation §147 AO)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DSGVO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AVV mit ALLEN Dienstleistern: Anthropic (Claude API!), Caya, GreenAPI, seven.io, Retell AI, Beds24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Löschkonzept: Bewerber 6 Monate, Verträge 3J nach Ende, Buchungsbelege 10J (GoBD)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dsgvo_datenweitergabe Pflichtfeld je Kontakt · Meldeschein Reisepass → Löschkonzept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Incident Response: 72h-Meldepflicht an Aufsichtsbehörde bei Datenpanne!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Steuerberater-Zugang: eigene Rolle, nur Buchungen/Belege – NICHT Mieterdaten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10. Offene Punkte &amp; Nächste Schritte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Technisch offen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iLoca-Evaluation vs. Beds24 (Demo-Call ausstehend – Vorteile: Reinigungsplan Plus, Meldeschein, DATEV nativ)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TTLock G5-Gateway: Hardware bestellt, n8n-Integration noch offen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Gästemappe eigene Lösung: gast.alfa-apartments.com/{TOKEN} – Smoobu ablösen (Next.js)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Forminator-Formular: Smoobu-IDs durch Beds24-IDs ersetzen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Mit Steuerberater/Notar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SKR03-Kontenzuordnung je Buchungstyp (absichtlich offen gelassen)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AfA-Sätze, Kaufpreisaufteilung-Methodik, USt-Details R2R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Holding-Struktur WIMUS GmbH / vvGmbH – Umsetzung und Timing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Scheinselbstständigkeits-Check für freiberufliche Mitarbeiter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DSGVO /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AVVs mit allen Dienstleistern abschließen (besonders: Anthropic Claude API, Caya, Retell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DSGVO-Verfahrensdokumentation erstellen (GoBD §147 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Zweckentfremdungsverbot KZV Stuttgart/Ludwigsburg prüfen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Backup-Strategie dokumentieren + Restore-Test terminieren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Übergabedokument v5.0 | 22.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2026-06-22T21:27:04.830Z</dcterms:created>
  <dcterms:modified xsi:type="dcterms:W3CDTF">2026-06-22T21:27:04.843Z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