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00"/>
      </w:pP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1F4E5F"/>
          <w:sz w:val="56"/>
          <w:szCs w:val="56"/>
        </w:rPr>
        <w:t xml:space="preserve">WIMUS ERP</w:t>
      </w: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10 – Fachliche Spezifikation</w:t>
      </w:r>
    </w:p>
    <w:p>
      <w:pPr>
        <w:spacing w:after="6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Prozesse P01–P61 · Portfolio · Gesellschaftsstruktur</w:t>
      </w:r>
    </w:p>
    <w:p>
      <w:pPr>
        <w:spacing w:after="40" w:before="200"/>
        <w:jc w:val="center"/>
      </w:pPr>
      <w:r>
        <w:rPr>
          <w:rFonts w:ascii="Arial" w:cs="Arial" w:eastAsia="Arial" w:hAnsi="Arial"/>
          <w:i/>
          <w:iCs/>
          <w:sz w:val="19"/>
          <w:szCs w:val="19"/>
        </w:rPr>
        <w:t xml:space="preserve">Fachliches Referenzdokument – wird selten geändert</w:t>
      </w:r>
    </w:p>
    <w:p>
      <w:pPr>
        <w:spacing w:before="200"/>
        <w:jc w:val="center"/>
      </w:pPr>
      <w:r>
        <w:rPr>
          <w:rFonts w:ascii="Arial" w:cs="Arial" w:eastAsia="Arial" w:hAnsi="Arial"/>
          <w:color w:val="999999"/>
          <w:sz w:val="18"/>
          <w:szCs w:val="18"/>
        </w:rPr>
        <w:t xml:space="preserve">Stand: 23. Juni 2026  ·  Württembergische Immobilien Management und Service GmbH</w:t>
      </w:r>
    </w:p>
    <w:p>
      <w:r>
        <w:br w:type="page"/>
      </w:r>
    </w:p>
    <w:p>
      <w:pPr>
        <w:pStyle w:val="Heading1"/>
        <w:pBdr>
          <w:bottom w:val="single" w:color="1F4E5F" w:sz="8" w:space="4"/>
        </w:pBdr>
        <w:spacing w:after="200" w:before="360"/>
      </w:pPr>
      <w:r>
        <w:rPr>
          <w:rFonts w:ascii="Arial" w:cs="Arial" w:eastAsia="Arial" w:hAnsi="Arial"/>
          <w:b/>
          <w:bCs/>
          <w:color w:val="1F4E5F"/>
          <w:sz w:val="32"/>
          <w:szCs w:val="32"/>
        </w:rPr>
        <w:t xml:space="preserve">1. Leitprinzip &amp; Credo</w:t>
      </w:r>
    </w:p>
    <w:p>
      <w:pPr>
        <w:spacing w:after="8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WIMUS ERP ist eine Schaltzentrale – keine Eigenentwicklung von Funktionalität die es als fertiges Open-Source-Modul gibt.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WIMUS ERP = Cockpit/Schaltzentrale (Next.js + Supabase)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Fertige Open-Source-Module werden über API angebunden – nie nachgebaut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Pflichtfelder auf Minimum · max. 2 Klicks zu häufigen Aktionen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KI übernimmt Erfassungsarbeit → Mensch bestätigt, korrigiert, entscheidet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Mobile-first · Lieber 80% automatisch korrekt als 100% manuell perfekt</w:t>
      </w:r>
    </w:p>
    <w:p>
      <w:r>
        <w:br w:type="page"/>
      </w:r>
    </w:p>
    <w:p>
      <w:pPr>
        <w:pStyle w:val="Heading1"/>
        <w:pBdr>
          <w:bottom w:val="single" w:color="1F4E5F" w:sz="8" w:space="4"/>
        </w:pBdr>
        <w:spacing w:after="200" w:before="360"/>
      </w:pPr>
      <w:r>
        <w:rPr>
          <w:rFonts w:ascii="Arial" w:cs="Arial" w:eastAsia="Arial" w:hAnsi="Arial"/>
          <w:b/>
          <w:bCs/>
          <w:color w:val="1F4E5F"/>
          <w:sz w:val="32"/>
          <w:szCs w:val="32"/>
        </w:rPr>
        <w:t xml:space="preserve">2. Portfolio IST-Stand (Juni 2026)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4E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Kennzahl</w:t>
            </w:r>
          </w:p>
        </w:tc>
        <w:tc>
          <w:tcPr>
            <w:tcW w:type="dxa" w:w="6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4E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Wert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Eigentümer</w:t>
            </w:r>
          </w:p>
        </w:tc>
        <w:tc>
          <w:tcPr>
            <w:tcW w:type="dxa" w:w="6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Dipl.-Kfm. Maxim Moser, §34c GewO, aktiv seit 2007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Standorte</w:t>
            </w:r>
          </w:p>
        </w:tc>
        <w:tc>
          <w:tcPr>
            <w:tcW w:type="dxa" w:w="6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Stuttgart, Ludwigsburg, Esslingen, Kornwestheim, Leonberg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Gesamteinheiten</w:t>
            </w:r>
          </w:p>
        </w:tc>
        <w:tc>
          <w:tcPr>
            <w:tcW w:type="dxa" w:w="6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27 (26 WE + 4 GE), davon 2 R2R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Wohnfläche</w:t>
            </w:r>
          </w:p>
        </w:tc>
        <w:tc>
          <w:tcPr>
            <w:tcW w:type="dxa" w:w="6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2.363 m² WF, 385 m² NF, 2.291 m² Grundstück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Brutto-Jahresmiete</w:t>
            </w:r>
          </w:p>
        </w:tc>
        <w:tc>
          <w:tcPr>
            <w:tcW w:type="dxa" w:w="6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957.160 EUR (2025)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Marktwert Portfolio</w:t>
            </w:r>
          </w:p>
        </w:tc>
        <w:tc>
          <w:tcPr>
            <w:tcW w:type="dxa" w:w="6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6.943.000 EUR (Sprengnetter/Pricehubble)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Gesamtvaluta</w:t>
            </w:r>
          </w:p>
        </w:tc>
        <w:tc>
          <w:tcPr>
            <w:tcW w:type="dxa" w:w="6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2.760.167 EUR | EK implizit: ~4,18 Mio EUR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Kapitaldienstrate</w:t>
            </w:r>
          </w:p>
        </w:tc>
        <w:tc>
          <w:tcPr>
            <w:tcW w:type="dxa" w:w="6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13.160 EUR/Monat | Auslastung 46,5%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ALFA CAMPUS</w:t>
            </w:r>
          </w:p>
        </w:tc>
        <w:tc>
          <w:tcPr>
            <w:tcW w:type="dxa" w:w="6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56 Einheiten, 130.513 EUR p.a., WG/Studenten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ALFA APARTMENTS</w:t>
            </w:r>
          </w:p>
        </w:tc>
        <w:tc>
          <w:tcPr>
            <w:tcW w:type="dxa" w:w="6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26 Einheiten, 614.022 EUR p.a., KZV 30–600 EUR/Nacht</w:t>
            </w:r>
          </w:p>
        </w:tc>
      </w:tr>
    </w:tbl>
    <w:p>
      <w:pPr>
        <w:spacing w:after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500"/>
        <w:gridCol w:w="1100"/>
        <w:gridCol w:w="900"/>
        <w:gridCol w:w="1200"/>
        <w:gridCol w:w="2426"/>
      </w:tblGrid>
      <w:tr>
        <w:trPr>
          <w:tblHeader/>
        </w:trPr>
        <w:tc>
          <w:tcPr>
            <w:tcW w:type="dxa" w:w="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4E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Kürzel</w:t>
            </w:r>
          </w:p>
        </w:tc>
        <w:tc>
          <w:tcPr>
            <w:tcW w:type="dxa" w:w="2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4E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Adresse</w:t>
            </w:r>
          </w:p>
        </w:tc>
        <w:tc>
          <w:tcPr>
            <w:tcW w:type="dxa" w:w="11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4E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</w:t>
            </w:r>
          </w:p>
        </w:tc>
        <w:tc>
          <w:tcPr>
            <w:tcW w:type="dxa" w:w="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4E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4E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Markt EUR</w:t>
            </w:r>
          </w:p>
        </w:tc>
        <w:tc>
          <w:tcPr>
            <w:tcW w:type="dxa" w:w="24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4E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 p.a. EUR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IS17</w:t>
            </w:r>
          </w:p>
        </w:tc>
        <w:tc>
          <w:tcPr>
            <w:tcW w:type="dxa" w:w="2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Ihmlingstr. 17, S-Bad Cannstatt</w:t>
            </w:r>
          </w:p>
        </w:tc>
        <w:tc>
          <w:tcPr>
            <w:tcW w:type="dxa" w:w="11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EW</w:t>
            </w:r>
          </w:p>
        </w:tc>
        <w:tc>
          <w:tcPr>
            <w:tcW w:type="dxa" w:w="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IST</w:t>
            </w:r>
          </w:p>
        </w:tc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318.000</w:t>
            </w:r>
          </w:p>
        </w:tc>
        <w:tc>
          <w:tcPr>
            <w:tcW w:type="dxa" w:w="24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83.011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LS17</w:t>
            </w:r>
          </w:p>
        </w:tc>
        <w:tc>
          <w:tcPr>
            <w:tcW w:type="dxa" w:w="2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Ihmlingstr. 17, Stuttgart</w:t>
            </w:r>
          </w:p>
        </w:tc>
        <w:tc>
          <w:tcPr>
            <w:tcW w:type="dxa" w:w="11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EW</w:t>
            </w:r>
          </w:p>
        </w:tc>
        <w:tc>
          <w:tcPr>
            <w:tcW w:type="dxa" w:w="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IST</w:t>
            </w:r>
          </w:p>
        </w:tc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408.000</w:t>
            </w:r>
          </w:p>
        </w:tc>
        <w:tc>
          <w:tcPr>
            <w:tcW w:type="dxa" w:w="24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161.805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THS97</w:t>
            </w:r>
          </w:p>
        </w:tc>
        <w:tc>
          <w:tcPr>
            <w:tcW w:type="dxa" w:w="2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Taubenheimstr. 97, S-Bad Cannstatt</w:t>
            </w:r>
          </w:p>
        </w:tc>
        <w:tc>
          <w:tcPr>
            <w:tcW w:type="dxa" w:w="11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EW</w:t>
            </w:r>
          </w:p>
        </w:tc>
        <w:tc>
          <w:tcPr>
            <w:tcW w:type="dxa" w:w="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VERKAUF</w:t>
            </w:r>
          </w:p>
        </w:tc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177.000</w:t>
            </w:r>
          </w:p>
        </w:tc>
        <w:tc>
          <w:tcPr>
            <w:tcW w:type="dxa" w:w="24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16.950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HS4</w:t>
            </w:r>
          </w:p>
        </w:tc>
        <w:tc>
          <w:tcPr>
            <w:tcW w:type="dxa" w:w="2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Hauffstr. 4, Esslingen</w:t>
            </w:r>
          </w:p>
        </w:tc>
        <w:tc>
          <w:tcPr>
            <w:tcW w:type="dxa" w:w="11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EW</w:t>
            </w:r>
          </w:p>
        </w:tc>
        <w:tc>
          <w:tcPr>
            <w:tcW w:type="dxa" w:w="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VERKAUF</w:t>
            </w:r>
          </w:p>
        </w:tc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162.000</w:t>
            </w:r>
          </w:p>
        </w:tc>
        <w:tc>
          <w:tcPr>
            <w:tcW w:type="dxa" w:w="24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37.451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AS125</w:t>
            </w:r>
          </w:p>
        </w:tc>
        <w:tc>
          <w:tcPr>
            <w:tcW w:type="dxa" w:w="2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Austraße 125, S-Münster</w:t>
            </w:r>
          </w:p>
        </w:tc>
        <w:tc>
          <w:tcPr>
            <w:tcW w:type="dxa" w:w="11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MFH 4WE+2GE</w:t>
            </w:r>
          </w:p>
        </w:tc>
        <w:tc>
          <w:tcPr>
            <w:tcW w:type="dxa" w:w="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IST</w:t>
            </w:r>
          </w:p>
        </w:tc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810.000</w:t>
            </w:r>
          </w:p>
        </w:tc>
        <w:tc>
          <w:tcPr>
            <w:tcW w:type="dxa" w:w="24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171.242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BHS16</w:t>
            </w:r>
          </w:p>
        </w:tc>
        <w:tc>
          <w:tcPr>
            <w:tcW w:type="dxa" w:w="2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Bauhofstr. 16, Ludwigsburg</w:t>
            </w:r>
          </w:p>
        </w:tc>
        <w:tc>
          <w:tcPr>
            <w:tcW w:type="dxa" w:w="11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MFH 4WE</w:t>
            </w:r>
          </w:p>
        </w:tc>
        <w:tc>
          <w:tcPr>
            <w:tcW w:type="dxa" w:w="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IST</w:t>
            </w:r>
          </w:p>
        </w:tc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855.000</w:t>
            </w:r>
          </w:p>
        </w:tc>
        <w:tc>
          <w:tcPr>
            <w:tcW w:type="dxa" w:w="24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95.528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SS25</w:t>
            </w:r>
          </w:p>
        </w:tc>
        <w:tc>
          <w:tcPr>
            <w:tcW w:type="dxa" w:w="2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Sirnauer Str. 25, Esslingen</w:t>
            </w:r>
          </w:p>
        </w:tc>
        <w:tc>
          <w:tcPr>
            <w:tcW w:type="dxa" w:w="11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MFH 3WE+GE</w:t>
            </w:r>
          </w:p>
        </w:tc>
        <w:tc>
          <w:tcPr>
            <w:tcW w:type="dxa" w:w="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VERKAUF</w:t>
            </w:r>
          </w:p>
        </w:tc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540.000</w:t>
            </w:r>
          </w:p>
        </w:tc>
        <w:tc>
          <w:tcPr>
            <w:tcW w:type="dxa" w:w="24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49.495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MS13</w:t>
            </w:r>
          </w:p>
        </w:tc>
        <w:tc>
          <w:tcPr>
            <w:tcW w:type="dxa" w:w="2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Murrstr. 13, Kornwestheim</w:t>
            </w:r>
          </w:p>
        </w:tc>
        <w:tc>
          <w:tcPr>
            <w:tcW w:type="dxa" w:w="11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MFH 3WE+GA</w:t>
            </w:r>
          </w:p>
        </w:tc>
        <w:tc>
          <w:tcPr>
            <w:tcW w:type="dxa" w:w="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IST</w:t>
            </w:r>
          </w:p>
        </w:tc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1.500.000</w:t>
            </w:r>
          </w:p>
        </w:tc>
        <w:tc>
          <w:tcPr>
            <w:tcW w:type="dxa" w:w="24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28.284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SG10</w:t>
            </w:r>
          </w:p>
        </w:tc>
        <w:tc>
          <w:tcPr>
            <w:tcW w:type="dxa" w:w="2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Spreuergasse 10, S-Bad Cannstatt</w:t>
            </w:r>
          </w:p>
        </w:tc>
        <w:tc>
          <w:tcPr>
            <w:tcW w:type="dxa" w:w="11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MFH 3WE</w:t>
            </w:r>
          </w:p>
        </w:tc>
        <w:tc>
          <w:tcPr>
            <w:tcW w:type="dxa" w:w="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IST</w:t>
            </w:r>
          </w:p>
        </w:tc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873.000</w:t>
            </w:r>
          </w:p>
        </w:tc>
        <w:tc>
          <w:tcPr>
            <w:tcW w:type="dxa" w:w="24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40.056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BS21A</w:t>
            </w:r>
          </w:p>
        </w:tc>
        <w:tc>
          <w:tcPr>
            <w:tcW w:type="dxa" w:w="2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Bietigheimer Str. 21A, S-Zuffenhausen</w:t>
            </w:r>
          </w:p>
        </w:tc>
        <w:tc>
          <w:tcPr>
            <w:tcW w:type="dxa" w:w="11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EFH</w:t>
            </w:r>
          </w:p>
        </w:tc>
        <w:tc>
          <w:tcPr>
            <w:tcW w:type="dxa" w:w="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IST</w:t>
            </w:r>
          </w:p>
        </w:tc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1.300.000</w:t>
            </w:r>
          </w:p>
        </w:tc>
        <w:tc>
          <w:tcPr>
            <w:tcW w:type="dxa" w:w="24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136.704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BS18A1</w:t>
            </w:r>
          </w:p>
        </w:tc>
        <w:tc>
          <w:tcPr>
            <w:tcW w:type="dxa" w:w="2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Beilsteiner Str. 18A, Stuttgart</w:t>
            </w:r>
          </w:p>
        </w:tc>
        <w:tc>
          <w:tcPr>
            <w:tcW w:type="dxa" w:w="11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R2R KZV</w:t>
            </w:r>
          </w:p>
        </w:tc>
        <w:tc>
          <w:tcPr>
            <w:tcW w:type="dxa" w:w="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IST</w:t>
            </w:r>
          </w:p>
        </w:tc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–</w:t>
            </w:r>
          </w:p>
        </w:tc>
        <w:tc>
          <w:tcPr>
            <w:tcW w:type="dxa" w:w="24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102.195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BS5A2</w:t>
            </w:r>
          </w:p>
        </w:tc>
        <w:tc>
          <w:tcPr>
            <w:tcW w:type="dxa" w:w="2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Beilsteiner Str. 5A2, Kornwestheim</w:t>
            </w:r>
          </w:p>
        </w:tc>
        <w:tc>
          <w:tcPr>
            <w:tcW w:type="dxa" w:w="11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R2R KZV</w:t>
            </w:r>
          </w:p>
        </w:tc>
        <w:tc>
          <w:tcPr>
            <w:tcW w:type="dxa" w:w="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IST</w:t>
            </w:r>
          </w:p>
        </w:tc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–</w:t>
            </w:r>
          </w:p>
        </w:tc>
        <w:tc>
          <w:tcPr>
            <w:tcW w:type="dxa" w:w="24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34.439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4E5F" w:sz="8" w:space="4"/>
        </w:pBdr>
        <w:spacing w:after="200" w:before="360"/>
      </w:pPr>
      <w:r>
        <w:rPr>
          <w:rFonts w:ascii="Arial" w:cs="Arial" w:eastAsia="Arial" w:hAnsi="Arial"/>
          <w:b/>
          <w:bCs/>
          <w:color w:val="1F4E5F"/>
          <w:sz w:val="32"/>
          <w:szCs w:val="32"/>
        </w:rPr>
        <w:t xml:space="preserve">3. Gesellschaftsstruktur &amp; Steueroptimierung</w:t>
      </w:r>
    </w:p>
    <w:p>
      <w:pPr>
        <w:pStyle w:val="Heading2"/>
        <w:spacing w:after="140" w:before="2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Zielstruktur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Maxim Moser privat: Bestandsobjekte, 10-Jahres-Frist §23 EStG, 3-Objekt-Grenze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WIMUS GmbH (operativ): Hausverwaltung §34c, ALFA DEVELOPMENT, Dienstleistungen an vvGmbH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vvGmbH (vermögensverwaltend): Bestandsobjekte langfristig, KZV-Betrieb, 15% KSt + Soli</w:t>
      </w:r>
    </w:p>
    <w:p>
      <w:pPr>
        <w:spacing w:after="100"/>
      </w:pPr>
    </w:p>
    <w:p>
      <w:pPr>
        <w:pStyle w:val="Heading2"/>
        <w:spacing w:after="140" w:before="2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Kritische Fristen – Pflicht-Tracking im ERP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000"/>
        <w:gridCol w:w="2826"/>
      </w:tblGrid>
      <w:tr>
        <w:trPr>
          <w:tblHeader/>
        </w:trP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4E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Frist/Grenze</w:t>
            </w:r>
          </w:p>
        </w:tc>
        <w:tc>
          <w:tcPr>
            <w:tcW w:type="dxa" w:w="4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4E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Inhalt</w:t>
            </w:r>
          </w:p>
        </w:tc>
        <w:tc>
          <w:tcPr>
            <w:tcW w:type="dxa" w:w="28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4E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ERP-Aktion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3-Objekt-Grenze</w:t>
            </w:r>
          </w:p>
        </w:tc>
        <w:tc>
          <w:tcPr>
            <w:tcW w:type="dxa" w:w="4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Max. 3 Verkäufe in 5 Jahren privat → sonst gewerblicher Grundstückshandel</w:t>
            </w:r>
          </w:p>
        </w:tc>
        <w:tc>
          <w:tcPr>
            <w:tcW w:type="dxa" w:w="28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Zähler + Warnung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10-Jahres-Frist §23 EStG</w:t>
            </w:r>
          </w:p>
        </w:tc>
        <w:tc>
          <w:tcPr>
            <w:tcW w:type="dxa" w:w="4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Verkauf &lt; 10J = steuerpflichtiger Spekulationsgewinn</w:t>
            </w:r>
          </w:p>
        </w:tc>
        <w:tc>
          <w:tcPr>
            <w:tcW w:type="dxa" w:w="28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Ampel je Objekt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§6b EStG-Rücklage</w:t>
            </w:r>
          </w:p>
        </w:tc>
        <w:tc>
          <w:tcPr>
            <w:tcW w:type="dxa" w:w="4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Reinvestitionsfrist 4 Jahre (6J bei Neubau)</w:t>
            </w:r>
          </w:p>
        </w:tc>
        <w:tc>
          <w:tcPr>
            <w:tcW w:type="dxa" w:w="28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Frist-Tracker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15%-Grenze §6 Abs.1 Nr.1a</w:t>
            </w:r>
          </w:p>
        </w:tc>
        <w:tc>
          <w:tcPr>
            <w:tcW w:type="dxa" w:w="4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Renovierungskosten Jahre 1–3 max. 15% AfA-Basis</w:t>
            </w:r>
          </w:p>
        </w:tc>
        <w:tc>
          <w:tcPr>
            <w:tcW w:type="dxa" w:w="28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Ampel je Objekt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Nutzen-Lasten-Übergang</w:t>
            </w:r>
          </w:p>
        </w:tc>
        <w:tc>
          <w:tcPr>
            <w:tcW w:type="dxa" w:w="4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Start der 3-Jahres-Frist – NICHT Notartermin!</w:t>
            </w:r>
          </w:p>
        </w:tc>
        <w:tc>
          <w:tcPr>
            <w:tcW w:type="dxa" w:w="28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Pflichtfeld je Objekt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Intercompany §42 AO</w:t>
            </w:r>
          </w:p>
        </w:tc>
        <w:tc>
          <w:tcPr>
            <w:tcW w:type="dxa" w:w="4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Rechnungsstellungs-Timing → Ertragsperiode</w:t>
            </w:r>
          </w:p>
        </w:tc>
        <w:tc>
          <w:tcPr>
            <w:tcW w:type="dxa" w:w="28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Leistungs- vs. Rechnungsdatum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§558 Miete BW</w:t>
            </w:r>
          </w:p>
        </w:tc>
        <w:tc>
          <w:tcPr>
            <w:tcW w:type="dxa" w:w="4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Kappungsgrenze 15% in 3 Jahren (nicht 20%!)</w:t>
            </w:r>
          </w:p>
        </w:tc>
        <w:tc>
          <w:tcPr>
            <w:tcW w:type="dxa" w:w="28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Ampel je Einheit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AG-Streitwert</w:t>
            </w:r>
          </w:p>
        </w:tc>
        <w:tc>
          <w:tcPr>
            <w:tcW w:type="dxa" w:w="4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Ab 01.01.2026: bis 10.000 EUR kein Anwaltszwang</w:t>
            </w:r>
          </w:p>
        </w:tc>
        <w:tc>
          <w:tcPr>
            <w:tcW w:type="dxa" w:w="28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Auto-Prüfung bei Rechtsfall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4E5F" w:sz="8" w:space="4"/>
        </w:pBdr>
        <w:spacing w:after="200" w:before="360"/>
      </w:pPr>
      <w:r>
        <w:rPr>
          <w:rFonts w:ascii="Arial" w:cs="Arial" w:eastAsia="Arial" w:hAnsi="Arial"/>
          <w:b/>
          <w:bCs/>
          <w:color w:val="1F4E5F"/>
          <w:sz w:val="32"/>
          <w:szCs w:val="32"/>
        </w:rPr>
        <w:t xml:space="preserve">4. Vollständige Prozessliste P01–P61</w:t>
      </w:r>
    </w:p>
    <w:p>
      <w:pPr>
        <w:pStyle w:val="Heading2"/>
        <w:spacing w:after="140" w:before="2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Objekterwerb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P01 Objektankauf + P01a DCF-Kalkulation (Kaufpreis, NK, AfA-Basis, 15%-Grenze, Rendite, Cashflow)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P01b Finanzierung (EK, 2 Darlehen, Zins/Tilgung/Annuität, BelA Ist/Soll, Ersatztilgung)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P01c Grundbuch/Sicherungsrechte (Abt. I/II/III, Grundschuld, Zweckerklärung)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P01d Phasenmodell Entwicklung (je Phase: Einheiten-Mix, Ertragsrechnung, GuV, Rendite)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P02 Objektanmietung R2R + P02b Pachtmodelle (Anlaufzeit, Fest/Umsatzpacht, Optionsrechte)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P21b KPA/RND-Optimierung · P42 Steuerliche Strukturierung · P42b Intercompany · P42c 15%-Grenze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P49 Gesellschaftsstruktur &amp; ALFA DEVELOPMENT · P48b Bank-Reporting · P48c Bank-Präsentation PDF</w:t>
      </w:r>
    </w:p>
    <w:p>
      <w:pPr>
        <w:spacing w:after="100"/>
      </w:pPr>
    </w:p>
    <w:p>
      <w:pPr>
        <w:pStyle w:val="Heading2"/>
        <w:spacing w:after="140" w:before="2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Objektentwicklung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P03 HOAI LPH 1–9, Gewerke-Gantt, DIN 276 KG 100–700, Nachkalkulation Soll/Ist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P13 Zählermanagement + P13b Turnusablesung (Zeitreihen, Interpolation, Anomalie-Erkennung)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P33 Objekt-Onboarding · P38 Quartalsbegehung · P39 Außenanlagenpflege (Winterdienst)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P41 Asset-Register (QR-Code) · P41b Werkzeugverwaltung · P46 Projektabwicklung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P53 Grundrissoptimierung KI (3→4 Zimmer, ROI, Claude Vision) · P54 HOAI/Ausschreibung/BKI</w:t>
      </w:r>
    </w:p>
    <w:p>
      <w:pPr>
        <w:spacing w:after="100"/>
      </w:pPr>
    </w:p>
    <w:p>
      <w:pPr>
        <w:pStyle w:val="Heading2"/>
        <w:spacing w:after="140" w:before="2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4.3 Marketing &amp; Akquise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P16 Inserate (IS24, Kleinanzeigen, WG-Gesucht, HousingAnywhere, OTAs)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P36 Revenue Management (Pricelabs KZV, Mietspiegel LZV, Event-Radar Ticketmaster API)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P12 Akquise Neueigentümer · P45 Tippgeber &amp; Provisionen · P55 Digitale Aushänge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P58 Vertriebsmanagement (Maklerverträge §34c, Exposé-Varianten, Interessenten DSGVO, Cost-per-Lead)</w:t>
      </w:r>
    </w:p>
    <w:p>
      <w:pPr>
        <w:spacing w:after="100"/>
      </w:pPr>
    </w:p>
    <w:p>
      <w:pPr>
        <w:pStyle w:val="Heading2"/>
        <w:spacing w:after="140" w:before="2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4.4 Bewerberauswahl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P17 Scoring (Bonität, Schufa, Einkommens-OCR, KdU-Check SGB II/XII, Grün/Gelb/Rot, DSGVO-Löschfrist)</w:t>
      </w:r>
    </w:p>
    <w:p>
      <w:pPr>
        <w:spacing w:after="100"/>
      </w:pPr>
    </w:p>
    <w:p>
      <w:pPr>
        <w:pStyle w:val="Heading2"/>
        <w:spacing w:after="140" w:before="2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4.5 Vertragsschluss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V01 Standard · V02 Befristet · V03 KZV (7% USt, Beds24) · V04 Gewerbe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DocuSeal (digitale Signatur) · Widerrufsbelehrung 14 Tage · KdU-Kostenstruktur getrennt</w:t>
      </w:r>
    </w:p>
    <w:p>
      <w:pPr>
        <w:spacing w:after="100"/>
      </w:pPr>
    </w:p>
    <w:p>
      <w:pPr>
        <w:pStyle w:val="Heading2"/>
        <w:spacing w:after="140" w:before="2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4.6 Einzug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Digitale Übergabe LZV (PWA, offline, Kamera, OCR Zählerstände, Signatur-Pad → Paperless)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B05 Vermieterbescheinigung §19 BMG · P26 Schlüssel/Zugangsverwaltung · P27 Kautionsverwaltung</w:t>
      </w:r>
    </w:p>
    <w:p>
      <w:pPr>
        <w:spacing w:after="100"/>
      </w:pPr>
    </w:p>
    <w:p>
      <w:pPr>
        <w:pStyle w:val="Heading2"/>
        <w:spacing w:after="140" w:before="2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4.7 Laufendes Mietverhältnis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P06/P07 KZV Zero-Touch: Beds24→n8n→TTLock→Tuya→WhatsApp→Rechnung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P08 WEG (Hausgeld, Wirtschaftsplan, ETV, Beschluss-Sammlung, Online-Umlaufbeschluss)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P09 Betriebskosten &amp; Abrechnung · P10 Mahnwesen 5-stufig · P10b OP-Management finAPI/CAMT.053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P11 Unified Inbox (Zammad) · P14 Vorgangsmanagement · P15 Plantafel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P22 Versicherung · P24 Dienstleister · P25 Compliance · P31 Wartungsmanagement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P34 Notfall · P37 Rechts-Management (Recht Mike) · P40 Verwaltungsvertrag · P47 Digitales Unternehmen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P50 Mietentwicklung §558/§559 (BW 15%!) · P50b Sofagespräch §557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P51 Entmietung sanft/hart · P52 KI-Rechtsabwicklung intern (AG &lt; 10.000 EUR ab 01.01.2026)</w:t>
      </w:r>
    </w:p>
    <w:p>
      <w:pPr>
        <w:spacing w:after="100"/>
      </w:pPr>
    </w:p>
    <w:p>
      <w:pPr>
        <w:pStyle w:val="Heading2"/>
        <w:spacing w:after="140" w:before="2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4.8 Vertragsbeendigung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Kündigung, MAV01–MAV03 (Ablöse 3–6 Monatsmieten) · Digitale Übergabe Auszug · Kautionsabrechnung</w:t>
      </w:r>
    </w:p>
    <w:p>
      <w:pPr>
        <w:spacing w:after="100"/>
      </w:pPr>
    </w:p>
    <w:p>
      <w:pPr>
        <w:pStyle w:val="Heading2"/>
        <w:spacing w:after="140" w:before="2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4.9 KZV – Vollautomatischer Lifecycle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Beds24-Webhook → n8n: Buchung, TTLock-Code (dynamisch), Tuya-Szene, WhatsApp-Bestätigung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Reinigung: Fotos Vorher/Nachher, Inventarcheck, Schaden → Vorgang → Schadensabwicklung gestaffelt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CityTax: Stuttgart 3 EUR / Ludwigsburg 2 EUR (Person/Nacht), manuelle Quartalsexport-Datei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Digitaler Meldeschein (Reisepassnummer → DSGVO-Löschkonzept)</w:t>
      </w:r>
    </w:p>
    <w:p>
      <w:pPr>
        <w:spacing w:after="100"/>
      </w:pPr>
    </w:p>
    <w:p>
      <w:pPr>
        <w:pStyle w:val="Heading2"/>
        <w:spacing w:after="140" w:before="2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4.10 Querschnittsprozesse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P18 DATEV-Export · P19 USt-Voranmeldung (KZV 7% monatlich) · P20 Jahresabschluss · P21 AfA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P23 Eigentümerreporting · P28 HR (ABS-RZ, Kimai, urlaubsverwaltung) · P29 DMS ★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P48 Reporting (Bank, GoBD) · P56 Steuerberater-Zugang · P57 CSV Import/Export</w:t>
      </w:r>
    </w:p>
    <w:p>
      <w:pPr>
        <w:spacing w:after="100"/>
      </w:pPr>
    </w:p>
    <w:p>
      <w:pPr>
        <w:pStyle w:val="Heading2"/>
        <w:spacing w:after="140" w:before="2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4.11 Neue Prozesse P58–P61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P58 Vertriebsmanagement (Kanalverwaltung, Maklerverträge §34c, Exposé-Varianten, Cost-per-Lead)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P59 Mobiles Workforce-Management (Checklisten-Builder, MA-App PWA, KI-Bildabgleich, Echtzeit-Cockpit)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P60 Workforce-Analytics &amp; Make-or-Buy (Vollkostenvergleich, Break-Even, TZ-Verwaltung)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P61 Qualitätskontrolle &amp; Schadensabwicklung (Bewertungsmanagement, Incident Report, Prozess-Bibliothek)</w:t>
      </w:r>
    </w:p>
    <w:sectPr>
      <w:headerReference w:type="default" r:id="rId7"/>
      <w:footerReference w:type="default" r:id="rId8"/>
      <w:pgSz w:w="11906" w:h="16838" w:orient="portrait"/>
      <w:pgMar w:top="1000" w:right="900" w:bottom="10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Seite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999999"/>
        <w:sz w:val="16"/>
        <w:szCs w:val="16"/>
      </w:rPr>
      <w:t xml:space="preserve"> von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999999"/>
        <w:sz w:val="16"/>
        <w:szCs w:val="16"/>
      </w:rPr>
      <w:t xml:space="preserve">WIMUS ERP – Prozesse P01–P61 · Portfolio · Gesellschaftsstruktur | 23. Juni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  <w:lvl w:ilvl="1" w15:tentative="1">
      <w:start w:val="1"/>
      <w:numFmt w:val="bullet"/>
      <w:lvlText w:val="◦"/>
      <w:lvlJc w:val="left"/>
      <w:pPr>
        <w:ind w:left="9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F4E5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6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2026-06-23T10:54:12.104Z</dcterms:created>
  <dcterms:modified xsi:type="dcterms:W3CDTF">2026-06-23T10:54:12.118Z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