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Deputada Jaqueline Silva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esta página lê uma tabela sem eixo de tempo. producao-por-deputado.csv não tem coluna de ano: cada coluna já é uma re-soma da 9ª legislatura (2023–2026), feita na exportação e declarada em provenance.json. O painel não re-janela esta tabela — ele confere que ela já está na janela.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Nomes na fonte: JAQUELINE SILVA (painel de votação), JAQUELINE SILVA (painel de emendas)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sessões presentes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392 de 547 — 71,7%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proposições apresentadas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2.803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aprovadas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34 de 2.803 — 1,2%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emendas de gabinete à LOA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205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emendas aprovadas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123 de 205 — 60,0%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pareceres da CCJ sobre autoria própria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26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pareceres admissíveis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19 de 26 — 73,1%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Também informa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Também informa — a presença é frequencia-em-sessoes-ordinarias re-somada, e o acervo não tem calendário de mandato: nenhum teste pode dizer se uma sessão ausente é falta ou licença (caminho de cobertura 22). Os pareceres da CCJ são contagens sobre verdict_prosa , e o sinal 20d recusa publicar essa razão como COLUNA — aqui ela aparece na tela, com numerador e denominador ao lado, e nunca é escrita em data/derived/ (sinal 35c). As emendas são as do painel de emendas, cujo status_execucao é ATIVO ou CANCELADO, nunca acatada ou rejeitada.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Todos os números deste documento vêm de uma única linha de producao-por-deputado.csv, identificada pelo nome do deputado. Nenhuma outra tabela é combinada aqui.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producao-por-deputado.csv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25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9e9d5723b6a5bcdd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https://maximusminus.github.io/cldf-dashboard/painel/perfil/deputada-jaqueline-silva.html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