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Deputado Chico Vigilante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esta página lê uma tabela sem eixo de tempo. producao-por-deputado.csv não tem coluna de ano: cada coluna já é uma re-soma da 9ª legislatura (2023–2026), feita na exportação e declarada em provenance.json. O painel não re-janela esta tabela — ele confere que ela já está na janela.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Nomes na fonte: CHICO VIGILANTE (painel de votação), CHICO VIGILANTE (painel de emendas)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sessões presentes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435 de 547 — 79,5%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proposições apresentadas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387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27 de 387 — 7,0%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de gabinete à LOA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98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62 de 98 — 63,3%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da CCJ sobre autoria própria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10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admissíveis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7 de 10 — 70,0%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Também informa — a presença é frequencia-em-sessoes-ordinarias re-somada, e o acervo não tem calendário de mandato: nenhum teste pode dizer se uma sessão ausente é falta ou licença (caminho de cobertura 22). Os pareceres da CCJ são contagens sobre verdict_prosa , e o sinal 20d recusa publicar essa razão como COLUNA — aqui ela aparece na tela, com numerador e denominador ao lado, e nunca é escrita em data/derived/ (sinal 35c). As emendas são as do painel de emendas, cujo status_execucao é ATIVO ou CANCELADO, nunca acatada ou rejeitada.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Todos os números deste documento vêm de uma única linha de producao-por-deputado.csv, identificada pelo nome do deputado. Nenhuma outra tabela é combinada aqui.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producao-por-deputado.csv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9e9d5723b6a5bcdd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https://maximusminus.github.io/cldf-dashboard/painel/perfil/deputado-chico-vigilante.html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