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after="60"/>
      </w:pPr>
      <w:r>
        <w:rPr>
          <w:rFonts w:ascii="Helvetica" w:hAnsi="Helvetica" w:cs="Helvetica"/>
          <w:b/>
          <w:sz w:val="34"/>
          <w:szCs w:val="34"/>
        </w:rPr>
        <w:t xml:space="preserve">Deputado Pepa</w:t>
      </w:r>
    </w:p>
    <w:p>
      <w:pPr>
        <w:spacing w:before="0" w:after="60"/>
        <w:ind w:left="200"/>
        <w:pBdr>
          <w:left w:val="single" w:sz="18" w:space="6" w:color="333333"/>
        </w:pBdr>
      </w:pPr>
      <w:r>
        <w:rPr>
          <w:rFonts w:ascii="Helvetica" w:hAnsi="Helvetica" w:cs="Helvetica"/>
          <w:sz w:val="20"/>
          <w:szCs w:val="20"/>
        </w:rPr>
        <w:t xml:space="preserve">Janela: esta página lê uma tabela sem eixo de tempo. producao-por-deputado.csv não tem coluna de ano: cada coluna já é uma re-soma da 9ª legislatura (2023–2026), feita na exportação e declarada em provenance.json. O painel não re-janela esta tabela — ele confere que ela já está na janela.</w:t>
      </w:r>
    </w:p>
    <w:p>
      <w:pPr>
        <w:spacing w:after="60"/>
      </w:pPr>
      <w:r>
        <w:rPr>
          <w:rFonts w:ascii="Helvetica" w:hAnsi="Helvetica" w:cs="Helvetica"/>
          <w:sz w:val="17"/>
          <w:szCs w:val="17"/>
        </w:rPr>
        <w:t xml:space="preserve">Nomes na fonte: PEPA (painel de votação), PEPA (painel de emendas)</w:t>
      </w:r>
    </w:p>
    <w:p>
      <w:pPr>
        <w:spacing w:after="60"/>
      </w:pPr>
      <w:r>
        <w:rPr>
          <w:rFonts w:ascii="Helvetica" w:hAnsi="Helvetica" w:cs="Helvetica"/>
          <w:sz w:val="18"/>
          <w:szCs w:val="18"/>
        </w:rPr>
        <w:t xml:space="preserve">sessões presentes</w:t>
      </w:r>
    </w:p>
    <w:p>
      <w:pPr>
        <w:spacing w:after="60"/>
      </w:pPr>
      <w:r>
        <w:rPr>
          <w:rFonts w:ascii="Helvetica" w:hAnsi="Helvetica" w:cs="Helvetica"/>
          <w:b/>
          <w:sz w:val="26"/>
          <w:szCs w:val="26"/>
        </w:rPr>
        <w:t xml:space="preserve">379 de 547 — 69,3%</w:t>
      </w:r>
    </w:p>
    <w:p>
      <w:pPr>
        <w:spacing w:after="60"/>
      </w:pPr>
      <w:r>
        <w:rPr>
          <w:rFonts w:ascii="Helvetica" w:hAnsi="Helvetica" w:cs="Helvetica"/>
          <w:sz w:val="18"/>
          <w:szCs w:val="18"/>
        </w:rPr>
        <w:t xml:space="preserve">proposições apresentadas</w:t>
      </w:r>
    </w:p>
    <w:p>
      <w:pPr>
        <w:spacing w:after="60"/>
      </w:pPr>
      <w:r>
        <w:rPr>
          <w:rFonts w:ascii="Helvetica" w:hAnsi="Helvetica" w:cs="Helvetica"/>
          <w:b/>
          <w:sz w:val="26"/>
          <w:szCs w:val="26"/>
        </w:rPr>
        <w:t xml:space="preserve">770</w:t>
      </w:r>
    </w:p>
    <w:p>
      <w:pPr>
        <w:spacing w:after="60"/>
      </w:pPr>
      <w:r>
        <w:rPr>
          <w:rFonts w:ascii="Helvetica" w:hAnsi="Helvetica" w:cs="Helvetica"/>
          <w:sz w:val="18"/>
          <w:szCs w:val="18"/>
        </w:rPr>
        <w:t xml:space="preserve">aprovadas</w:t>
      </w:r>
    </w:p>
    <w:p>
      <w:pPr>
        <w:spacing w:after="60"/>
      </w:pPr>
      <w:r>
        <w:rPr>
          <w:rFonts w:ascii="Helvetica" w:hAnsi="Helvetica" w:cs="Helvetica"/>
          <w:b/>
          <w:sz w:val="26"/>
          <w:szCs w:val="26"/>
        </w:rPr>
        <w:t xml:space="preserve">45 de 770 — 5,8%</w:t>
      </w:r>
    </w:p>
    <w:p>
      <w:pPr>
        <w:spacing w:after="60"/>
      </w:pPr>
      <w:r>
        <w:rPr>
          <w:rFonts w:ascii="Helvetica" w:hAnsi="Helvetica" w:cs="Helvetica"/>
          <w:sz w:val="18"/>
          <w:szCs w:val="18"/>
        </w:rPr>
        <w:t xml:space="preserve">emendas de gabinete à LOA</w:t>
      </w:r>
    </w:p>
    <w:p>
      <w:pPr>
        <w:spacing w:after="60"/>
      </w:pPr>
      <w:r>
        <w:rPr>
          <w:rFonts w:ascii="Helvetica" w:hAnsi="Helvetica" w:cs="Helvetica"/>
          <w:b/>
          <w:sz w:val="26"/>
          <w:szCs w:val="26"/>
        </w:rPr>
        <w:t xml:space="preserve">100</w:t>
      </w:r>
    </w:p>
    <w:p>
      <w:pPr>
        <w:spacing w:after="60"/>
      </w:pPr>
      <w:r>
        <w:rPr>
          <w:rFonts w:ascii="Helvetica" w:hAnsi="Helvetica" w:cs="Helvetica"/>
          <w:sz w:val="18"/>
          <w:szCs w:val="18"/>
        </w:rPr>
        <w:t xml:space="preserve">emendas aprovadas</w:t>
      </w:r>
    </w:p>
    <w:p>
      <w:pPr>
        <w:spacing w:after="60"/>
      </w:pPr>
      <w:r>
        <w:rPr>
          <w:rFonts w:ascii="Helvetica" w:hAnsi="Helvetica" w:cs="Helvetica"/>
          <w:b/>
          <w:sz w:val="26"/>
          <w:szCs w:val="26"/>
        </w:rPr>
        <w:t xml:space="preserve">66 de 100 — 66,0%</w:t>
      </w:r>
    </w:p>
    <w:p>
      <w:pPr>
        <w:spacing w:after="60"/>
      </w:pPr>
      <w:r>
        <w:rPr>
          <w:rFonts w:ascii="Helvetica" w:hAnsi="Helvetica" w:cs="Helvetica"/>
          <w:sz w:val="18"/>
          <w:szCs w:val="18"/>
        </w:rPr>
        <w:t xml:space="preserve">pareceres da CCJ sobre autoria própria</w:t>
      </w:r>
    </w:p>
    <w:p>
      <w:pPr>
        <w:spacing w:after="60"/>
      </w:pPr>
      <w:r>
        <w:rPr>
          <w:rFonts w:ascii="Helvetica" w:hAnsi="Helvetica" w:cs="Helvetica"/>
          <w:b/>
          <w:sz w:val="26"/>
          <w:szCs w:val="26"/>
        </w:rPr>
        <w:t xml:space="preserve">14</w:t>
      </w:r>
    </w:p>
    <w:p>
      <w:pPr>
        <w:spacing w:after="60"/>
      </w:pPr>
      <w:r>
        <w:rPr>
          <w:rFonts w:ascii="Helvetica" w:hAnsi="Helvetica" w:cs="Helvetica"/>
          <w:sz w:val="18"/>
          <w:szCs w:val="18"/>
        </w:rPr>
        <w:t xml:space="preserve">pareceres admissíveis</w:t>
      </w:r>
    </w:p>
    <w:p>
      <w:pPr>
        <w:spacing w:after="60"/>
      </w:pPr>
      <w:r>
        <w:rPr>
          <w:rFonts w:ascii="Helvetica" w:hAnsi="Helvetica" w:cs="Helvetica"/>
          <w:b/>
          <w:sz w:val="26"/>
          <w:szCs w:val="26"/>
        </w:rPr>
        <w:t xml:space="preserve">9 de 14 — 64,3%</w:t>
      </w:r>
    </w:p>
    <w:p>
      <w:pPr>
        <w:spacing w:before="240" w:after="60"/>
      </w:pPr>
      <w:r>
        <w:rPr>
          <w:rFonts w:ascii="Helvetica" w:hAnsi="Helvetica" w:cs="Helvetica"/>
          <w:b/>
          <w:sz w:val="24"/>
          <w:szCs w:val="24"/>
        </w:rPr>
        <w:t xml:space="preserve">Também informa</w:t>
      </w:r>
    </w:p>
    <w:p>
      <w:pPr>
        <w:spacing w:before="0" w:after="60"/>
        <w:ind w:left="200"/>
        <w:pBdr>
          <w:left w:val="single" w:sz="18" w:space="6" w:color="333333"/>
        </w:pBdr>
      </w:pPr>
      <w:r>
        <w:rPr>
          <w:rFonts w:ascii="Helvetica" w:hAnsi="Helvetica" w:cs="Helvetica"/>
          <w:sz w:val="20"/>
          <w:szCs w:val="20"/>
        </w:rPr>
        <w:t xml:space="preserve">Também informa — a presença é frequencia-em-sessoes-ordinarias re-somada, e o acervo não tem calendário de mandato: nenhum teste pode dizer se uma sessão ausente é falta ou licença (caminho de cobertura 22). Os pareceres da CCJ são contagens sobre verdict_prosa , e o sinal 20d recusa publicar essa razão como COLUNA — aqui ela aparece na tela, com numerador e denominador ao lado, e nunca é escrita em data/derived/ (sinal 35c). As emendas são as do painel de emendas, cujo status_execucao é ATIVO ou CANCELADO, nunca acatada ou rejeitada.</w:t>
      </w:r>
    </w:p>
    <w:p>
      <w:pPr>
        <w:spacing w:after="60"/>
      </w:pPr>
      <w:r>
        <w:rPr>
          <w:rFonts w:ascii="Helvetica" w:hAnsi="Helvetica" w:cs="Helvetica"/>
          <w:sz w:val="17"/>
          <w:szCs w:val="17"/>
        </w:rPr>
        <w:t xml:space="preserve">Todos os números deste documento vêm de uma única linha de producao-por-deputado.csv, identificada pelo nome do deputado. Nenhuma outra tabela é combinada aqui.</w:t>
      </w:r>
    </w:p>
    <w:p>
      <w:pPr>
        <w:spacing w:before="240" w:after="60"/>
      </w:pPr>
      <w:r>
        <w:rPr>
          <w:rFonts w:ascii="Helvetica" w:hAnsi="Helvetica" w:cs="Helvetica"/>
          <w:b/>
          <w:sz w:val="24"/>
          <w:szCs w:val="24"/>
        </w:rPr>
        <w:t xml:space="preserve">Fonte, janela e data</w:t>
      </w:r>
    </w:p>
    <w:tbl>
      <w:tblPr>
        <w:tblW w:w="96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tabela publicada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linhas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sha256 (16)</w:t>
            </w:r>
          </w:p>
        </w:tc>
      </w:tr>
      <w:tr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producao-por-deputado.csv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25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9e9d5723b6a5bcdd</w:t>
            </w:r>
          </w:p>
        </w:tc>
      </w:tr>
    </w:tbl>
    <w:p>
      <w:pPr>
        <w:spacing w:after="0"/>
      </w:pPr>
    </w:p>
    <w:p>
      <w:pPr>
        <w:spacing w:after="60"/>
      </w:pPr>
      <w:r>
        <w:rPr>
          <w:rFonts w:ascii="Helvetica" w:hAnsi="Helvetica" w:cs="Helvetica"/>
          <w:sz w:val="17"/>
          <w:szCs w:val="17"/>
        </w:rPr>
        <w:t xml:space="preserve">Coleta das proposições realizada a partir de 21 de agosto de 2026; das votações, em 26–28 de agosto de 2026. Fontes: a API pública da Câmara Legislativa do Distrito Federal e o Painel de Votação do seu Portal da Transparência. Licença dos dados: CC BY-SA 4.0 ([../../LICENSE-data](../../LICENSE-data)) — re-escolhida na OS-083 para seguir a mesma licença que a maioria dos pacotes de dados.cl.df.gov.br já declara.</w:t>
      </w:r>
    </w:p>
    <w:p>
      <w:pPr>
        <w:spacing w:after="60"/>
      </w:pPr>
      <w:r>
        <w:rPr>
          <w:rFonts w:ascii="Helvetica" w:hAnsi="Helvetica" w:cs="Helvetica"/>
          <w:sz w:val="17"/>
          <w:szCs w:val="17"/>
        </w:rPr>
        <w:t xml:space="preserve">Dados: CC BY-SA 4.0. Código e interface: PolyForm Noncommercial 1.0.0. Você pode redistribuir e transformar estes números, citando a fonte e mantendo a mesma licença.</w:t>
      </w:r>
    </w:p>
    <w:p>
      <w:pPr>
        <w:spacing w:after="60"/>
      </w:pPr>
      <w:r>
        <w:rPr>
          <w:rFonts w:ascii="Helvetica" w:hAnsi="Helvetica" w:cs="Helvetica"/>
          <w:sz w:val="17"/>
          <w:szCs w:val="17"/>
        </w:rPr>
        <w:t xml:space="preserve">Esta página no site: https://maximusminus.github.io/cldf-dashboard/painel/perfil/deputado-pepa.html — o número desta página é reproduzível: a tabela acima está publicada inteira, com o seu sha256, e qualquer pessoa pode re-somá-la.</w:t>
      </w:r>
    </w:p>
    <w:sectPr>
      <w:pgSz w:w="11906" w:h="16838"/>
      <w:pgMar w:top="1120" w:right="1120" w:bottom="1120" w:left="1120" w:header="708" w:footer="708" w:gutter="0"/>
    </w:sectPr>
  </w:body>
</w:document>
</file>