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Deputado Ricardo Vale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esta página lê uma tabela sem eixo de tempo. producao-por-deputado.csv não tem coluna de ano: cada coluna já é uma re-soma da 9ª legislatura (2023–2026), feita na exportação e declarada em provenance.json. O painel não re-janela esta tabela — ele confere que ela já está na janela.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Nomes na fonte: RICARDO VALE (painel de votação), RICARDO VALE (painel de emendas)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sessões presentes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420 de 547 — 76,8%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proposições apresentadas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935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36 de 935 — 3,9%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de gabinete à LOA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179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emendas aprovadas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97 de 179 — 54,2%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da CCJ sobre autoria própria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26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pareceres admissíveis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17 de 26 — 65,4%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Também informa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Também informa — a presença é frequencia-em-sessoes-ordinarias re-somada, e o acervo não tem calendário de mandato: nenhum teste pode dizer se uma sessão ausente é falta ou licença (caminho de cobertura 22). Os pareceres da CCJ são contagens sobre verdict_prosa , e o sinal 20d recusa publicar essa razão como COLUNA — aqui ela aparece na tela, com numerador e denominador ao lado, e nunca é escrita em data/derived/ (sinal 35c). As emendas são as do painel de emendas, cujo status_execucao é ATIVO ou CANCELADO, nunca acatada ou rejeitada.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Todos os números deste documento vêm de uma única linha de producao-por-deputado.csv, identificada pelo nome do deputado. Nenhuma outra tabela é combinada aqui.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producao-por-deputado.csv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9e9d5723b6a5bcdd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https://maximusminus.github.io/cldf-dashboard/painel/perfil/deputado-ricardo-vale.html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