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folha de pagamento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a folha de pagamento da Casa, por cargo e por ano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1.681.288.846,79 de 2.560.591.218,43 líquido sobre os créditos — 65,7%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347.386.820,27 de 547.554.231,72 líquido sobre os créditos — 63,4%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Líquido, por cargo efetivo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(vazio)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452.356.296,32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CONSULTOR TECNICO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433.485.698,02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372.224.151,09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CONSULTOR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148.225.180,12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TECNICO ADMINISTRATIVO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107.989.891,19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ASSISTENTE TECNICO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91.022.140,52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TECNICO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31.378.645,03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PROCURADOR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25.694.274,68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ASSISTENTE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10.575.325,06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AUXILIAR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8.337.244,76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27 também informa que 95.716 linhas da fonte (21,6 %) carregam os próprios artefatos de ponto flutuante da planilha original, e que a Casa e a folha não podem ser cruzadas linha a linha com uma ordem bancária — são dois registros, não um.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folha-por-cargo-e-ano.csv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1.953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a0b17b081450a668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https://maximusminus.github.io/cldf-dashboard/painel/perguntas/a02-folha.html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