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orçamento — LOA e créditos adicionais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o que a LOA votou contra o que os créditos adicionais movimentaram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683.072.945,50 de 140.817.283.556 movimentado por créditos sobre o votado na LOA — 0,5%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247.056.995,82 de 80.850.468.998 movimentado por créditos sobre o votado na LOA — 0,3%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Valor votado na LOA, por unidade orçamentária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19202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23.098.354.765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19213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15.192.359.171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18101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12.136.690.199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19101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12.031.809.264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23901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11.233.162.444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18903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7.796.028.567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22202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7.619.087.718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26101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3.862.727.378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20201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3.614.795.131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90101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2.936.850.787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22101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2.615.042.786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26205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2.389.432.564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28 também informa que só 1.996 das 51.764 chaves de classificação (3,9 %) são declaradas pelos dois lados — a maior parte da classificação orçamentária aparece só na LOA ou só nos créditos, nunca nos dois.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conferencia-loa-x-creditos.csv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51.764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4ef0ae01f1a70143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https://maximusminus.github.io/cldf-dashboard/painel/perguntas/a04-orcamento.html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