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verba indenizatória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a verba indenizatória por deputado e por mês, rubrica a rubrica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número-chave — 2023–2026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10.577.714,55 de 19.922.934,96 usado sobre o teto mensal autorizado — 53,1%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Total gasto, por rubrica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rótulo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locação/manutenção de imóveis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1.413.756,37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locação de máquinas/equip.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94.033,26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aquisição de material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locação de veículos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3.434.745,44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combustível/lubrificante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714.718,70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jurídica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605.880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especializada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675.910,70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divulgação de atividade parlamentar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3.638.670,08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outros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signal 23 (dataset 8, verba indenizatória) também informa que 729 de 1.013 deputado-meses existem só no Quadro-resumo, sem comprovante detalhado publicado, e que a divergência entre as duas publicações é sempre exata — nunca é feita coincidir.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verba-indenizatoria-por-deputado-e-mes.csv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1.008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f6c0e4e069333032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https://maximusminus.github.io/cldf-dashboard/painel/perguntas/a06-verba-indenizatoria.html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