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60"/>
      </w:pPr>
      <w:r>
        <w:rPr>
          <w:rFonts w:ascii="Helvetica" w:hAnsi="Helvetica" w:cs="Helvetica"/>
          <w:b/>
          <w:sz w:val="34"/>
          <w:szCs w:val="34"/>
        </w:rPr>
        <w:t xml:space="preserve">Eixo: sigilo — informações classificadas</w:t>
      </w:r>
    </w:p>
    <w:p>
      <w:pPr>
        <w:spacing w:after="60"/>
      </w:pPr>
      <w:r>
        <w:rPr>
          <w:rFonts w:ascii="Helvetica" w:hAnsi="Helvetica" w:cs="Helvetica"/>
          <w:sz w:val="20"/>
          <w:szCs w:val="20"/>
        </w:rPr>
        <w:t xml:space="preserve">eixo acrescentado — o rol de informações classificadas, por unidade e por ano</w:t>
      </w:r>
    </w:p>
    <w:p>
      <w:pPr>
        <w:spacing w:before="0" w:after="60"/>
        <w:ind w:left="200"/>
        <w:pBdr>
          <w:left w:val="single" w:sz="18" w:space="6" w:color="333333"/>
        </w:pBdr>
      </w:pPr>
      <w:r>
        <w:rPr>
          <w:rFonts w:ascii="Helvetica" w:hAnsi="Helvetica" w:cs="Helvetica"/>
          <w:sz w:val="20"/>
          <w:szCs w:val="20"/>
        </w:rPr>
        <w:t xml:space="preserve">Janela: a 9ª legislatura, 2023–2026. Todo número desta página é contado só sobre esses quatro anos. 2022 — o último ano da legislatura anterior — aparece ao lado como linha de base, rotulado, e nunca é somado a um total de 2023–2026.</w:t>
      </w:r>
    </w:p>
    <w:p>
      <w:pPr>
        <w:spacing w:after="60"/>
      </w:pPr>
      <w:r>
        <w:rPr>
          <w:rFonts w:ascii="Helvetica" w:hAnsi="Helvetica" w:cs="Helvetica"/>
          <w:sz w:val="18"/>
          <w:szCs w:val="18"/>
        </w:rPr>
        <w:t xml:space="preserve">número-chave — 2023–2026</w:t>
      </w:r>
    </w:p>
    <w:p>
      <w:pPr>
        <w:spacing w:after="60"/>
      </w:pPr>
      <w:r>
        <w:rPr>
          <w:rFonts w:ascii="Helvetica" w:hAnsi="Helvetica" w:cs="Helvetica"/>
          <w:b/>
          <w:sz w:val="26"/>
          <w:szCs w:val="26"/>
        </w:rPr>
        <w:t xml:space="preserve">118 de 146 classificados sem grau publicado — 80,8%</w:t>
      </w:r>
    </w:p>
    <w:p>
      <w:pPr>
        <w:spacing w:after="60"/>
      </w:pPr>
      <w:r>
        <w:rPr>
          <w:rFonts w:ascii="Helvetica" w:hAnsi="Helvetica" w:cs="Helvetica"/>
          <w:sz w:val="18"/>
          <w:szCs w:val="18"/>
        </w:rPr>
        <w:t xml:space="preserve">linha de base — 2022, último ano da legislatura anterior (não somado acima)</w:t>
      </w:r>
    </w:p>
    <w:p>
      <w:pPr>
        <w:spacing w:after="60"/>
      </w:pPr>
      <w:r>
        <w:rPr>
          <w:rFonts w:ascii="Helvetica" w:hAnsi="Helvetica" w:cs="Helvetica"/>
          <w:b/>
          <w:sz w:val="26"/>
          <w:szCs w:val="26"/>
        </w:rPr>
        <w:t xml:space="preserve">23 de 23 classificados sem grau publicado — 100,0%</w:t>
      </w:r>
    </w:p>
    <w:p>
      <w:pPr>
        <w:spacing w:before="240" w:after="60"/>
      </w:pPr>
      <w:r>
        <w:rPr>
          <w:rFonts w:ascii="Helvetica" w:hAnsi="Helvetica" w:cs="Helvetica"/>
          <w:b/>
          <w:sz w:val="24"/>
          <w:szCs w:val="24"/>
        </w:rPr>
        <w:t xml:space="preserve">Processos, por grau declarado</w:t>
      </w:r>
    </w:p>
    <w:tbl>
      <w:tblPr>
        <w:tblW w:w="96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rótulo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restrito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58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sigiloso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86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sem categoria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reservado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18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secreto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9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ultrassecreto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sem grau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118</w:t>
            </w:r>
          </w:p>
        </w:tc>
      </w:tr>
    </w:tbl>
    <w:p>
      <w:pPr>
        <w:spacing w:after="0"/>
      </w:pPr>
    </w:p>
    <w:p>
      <w:pPr>
        <w:spacing w:before="240" w:after="60"/>
      </w:pPr>
      <w:r>
        <w:rPr>
          <w:rFonts w:ascii="Helvetica" w:hAnsi="Helvetica" w:cs="Helvetica"/>
          <w:b/>
          <w:sz w:val="24"/>
          <w:szCs w:val="24"/>
        </w:rPr>
        <w:t xml:space="preserve">Também informa</w:t>
      </w:r>
    </w:p>
    <w:p>
      <w:pPr>
        <w:spacing w:before="0" w:after="60"/>
        <w:ind w:left="200"/>
        <w:pBdr>
          <w:left w:val="single" w:sz="18" w:space="6" w:color="333333"/>
        </w:pBdr>
      </w:pPr>
      <w:r>
        <w:rPr>
          <w:rFonts w:ascii="Helvetica" w:hAnsi="Helvetica" w:cs="Helvetica"/>
          <w:sz w:val="20"/>
          <w:szCs w:val="20"/>
        </w:rPr>
        <w:t xml:space="preserve">signal 31 também informa que a Casa classifica muito mais do que rotula — o grau fica vazio em 149 das 177 linhas — e que o rol de desclassificados publica 118 linhas sem nenhum conteúdo.</w:t>
      </w:r>
    </w:p>
    <w:p>
      <w:pPr>
        <w:spacing w:after="60"/>
      </w:pPr>
      <w:r>
        <w:rPr>
          <w:rFonts w:ascii="Helvetica" w:hAnsi="Helvetica" w:cs="Helvetica"/>
          <w:sz w:val="18"/>
          <w:szCs w:val="18"/>
        </w:rPr>
        <w:t xml:space="preserve">reconciliação — do bruto buscado ao publicado nesta janela</w:t>
      </w:r>
    </w:p>
    <w:p>
      <w:pPr>
        <w:spacing w:after="60"/>
      </w:pPr>
      <w:r>
        <w:rPr>
          <w:rFonts w:ascii="Helvetica" w:hAnsi="Helvetica" w:cs="Helvetica"/>
          <w:b/>
          <w:sz w:val="26"/>
          <w:szCs w:val="26"/>
        </w:rPr>
        <w:t xml:space="preserve">118 de 146 classificados sem grau publicado — 80,8%</w:t>
      </w:r>
    </w:p>
    <w:p>
      <w:pPr>
        <w:spacing w:before="240" w:after="60"/>
      </w:pPr>
      <w:r>
        <w:rPr>
          <w:rFonts w:ascii="Helvetica" w:hAnsi="Helvetica" w:cs="Helvetica"/>
          <w:b/>
          <w:sz w:val="24"/>
          <w:szCs w:val="24"/>
        </w:rPr>
        <w:t xml:space="preserve">Fonte, janela e data</w:t>
      </w:r>
    </w:p>
    <w:tbl>
      <w:tblPr>
        <w:tblW w:w="96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tabela publicada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linhas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sha256 (16)</w:t>
            </w:r>
          </w:p>
        </w:tc>
      </w:tr>
      <w:tr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informacoes-classificadas-por-unidade-e-ano.csv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65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75a53dd65769fbc3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rFonts w:ascii="Helvetica" w:hAnsi="Helvetica" w:cs="Helvetica"/>
          <w:sz w:val="17"/>
          <w:szCs w:val="17"/>
        </w:rPr>
        <w:t xml:space="preserve">Coleta das proposições realizada a partir de 21 de agosto de 2026; das votações, em 26–28 de agosto de 2026. Fontes: a API pública da Câmara Legislativa do Distrito Federal e o Painel de Votação do seu Portal da Transparência. Licença dos dados: CC BY-SA 4.0 ([../../LICENSE-data](../../LICENSE-data)) — re-escolhida na OS-083 para seguir a mesma licença que a maioria dos pacotes de dados.cl.df.gov.br já declara.</w:t>
      </w:r>
    </w:p>
    <w:p>
      <w:pPr>
        <w:spacing w:after="60"/>
      </w:pPr>
      <w:r>
        <w:rPr>
          <w:rFonts w:ascii="Helvetica" w:hAnsi="Helvetica" w:cs="Helvetica"/>
          <w:sz w:val="17"/>
          <w:szCs w:val="17"/>
        </w:rPr>
        <w:t xml:space="preserve">Dados: CC BY-SA 4.0. Código e interface: PolyForm Noncommercial 1.0.0. Você pode redistribuir e transformar estes números, citando a fonte e mantendo a mesma licença.</w:t>
      </w:r>
    </w:p>
    <w:p>
      <w:pPr>
        <w:spacing w:after="60"/>
      </w:pPr>
      <w:r>
        <w:rPr>
          <w:rFonts w:ascii="Helvetica" w:hAnsi="Helvetica" w:cs="Helvetica"/>
          <w:sz w:val="17"/>
          <w:szCs w:val="17"/>
        </w:rPr>
        <w:t xml:space="preserve">Esta página no site: https://maximusminus.github.io/cldf-dashboard/painel/perguntas/a09-sigilo.html — o número desta página é reproduzível: a tabela acima está publicada inteira, com o seu sha256, e qualquer pessoa pode re-somá-la.</w:t>
      </w:r>
    </w:p>
    <w:sectPr>
      <w:pgSz w:w="11906" w:h="16838"/>
      <w:pgMar w:top="1120" w:right="1120" w:bottom="1120" w:left="1120" w:header="708" w:footer="708" w:gutter="0"/>
    </w:sectPr>
  </w:body>
</w:document>
</file>