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after="60"/>
      </w:pPr>
      <w:r>
        <w:rPr>
          <w:rFonts w:ascii="Helvetica" w:hAnsi="Helvetica" w:cs="Helvetica"/>
          <w:b/>
          <w:sz w:val="34"/>
          <w:szCs w:val="34"/>
        </w:rPr>
        <w:t xml:space="preserve">Tramitação em regime de urgência</w:t>
      </w:r>
    </w:p>
    <w:p>
      <w:pPr>
        <w:spacing w:after="60"/>
      </w:pPr>
      <w:r>
        <w:rPr>
          <w:rFonts w:ascii="Helvetica" w:hAnsi="Helvetica" w:cs="Helvetica"/>
          <w:sz w:val="20"/>
          <w:szCs w:val="20"/>
        </w:rPr>
        <w:t xml:space="preserve">tramitação em regime de urgência: autoria do requerimento, prazo observado, houve emenda de mérito</w:t>
      </w:r>
    </w:p>
    <w:p>
      <w:pPr>
        <w:spacing w:before="0" w:after="60"/>
        <w:ind w:left="200"/>
        <w:pBdr>
          <w:left w:val="single" w:sz="18" w:space="6" w:color="333333"/>
        </w:pBdr>
      </w:pPr>
      <w:r>
        <w:rPr>
          <w:rFonts w:ascii="Helvetica" w:hAnsi="Helvetica" w:cs="Helvetica"/>
          <w:sz w:val="20"/>
          <w:szCs w:val="20"/>
        </w:rPr>
        <w:t xml:space="preserve">Janela: a 9ª legislatura, 2023–2026. Todo número desta página é contado só sobre esses quatro anos. 2022 — o último ano da legislatura anterior — aparece ao lado como linha de base, rotulado, e nunca é somado a um total de 2023–2026.</w:t>
      </w:r>
    </w:p>
    <w:p>
      <w:pPr>
        <w:spacing w:after="60"/>
      </w:pPr>
      <w:r>
        <w:rPr>
          <w:rFonts w:ascii="Helvetica" w:hAnsi="Helvetica" w:cs="Helvetica"/>
          <w:sz w:val="18"/>
          <w:szCs w:val="18"/>
        </w:rPr>
        <w:t xml:space="preserve">número-chave — 2023–2026</w:t>
      </w:r>
    </w:p>
    <w:p>
      <w:pPr>
        <w:spacing w:after="60"/>
      </w:pPr>
      <w:r>
        <w:rPr>
          <w:rFonts w:ascii="Helvetica" w:hAnsi="Helvetica" w:cs="Helvetica"/>
          <w:b/>
          <w:sz w:val="26"/>
          <w:szCs w:val="26"/>
        </w:rPr>
        <w:t xml:space="preserve">1 de 2 requerimentos de urgência votados — 50,0%</w:t>
      </w:r>
    </w:p>
    <w:p>
      <w:pPr>
        <w:spacing w:before="240" w:after="60"/>
      </w:pPr>
      <w:r>
        <w:rPr>
          <w:rFonts w:ascii="Helvetica" w:hAnsi="Helvetica" w:cs="Helvetica"/>
          <w:b/>
          <w:sz w:val="24"/>
          <w:szCs w:val="24"/>
        </w:rPr>
        <w:t xml:space="preserve">Requerimentos por autoria</w:t>
      </w:r>
    </w:p>
    <w:tbl>
      <w:tblPr>
        <w:tblW w:w="96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4830" w:type="dxa"/>
          </w:tcPr>
          <w:p>
            <w:pPr>
              <w:spacing w:after="0"/>
            </w:pPr>
            <w:r>
              <w:rPr>
                <w:rFonts w:ascii="Helvetica" w:hAnsi="Helvetica" w:cs="Helvetica"/>
                <w:b/>
                <w:sz w:val="18"/>
                <w:szCs w:val="18"/>
              </w:rPr>
              <w:t xml:space="preserve">rótulo</w:t>
            </w:r>
          </w:p>
        </w:tc>
        <w:tc>
          <w:tcPr>
            <w:tcW w:w="4830" w:type="dxa"/>
          </w:tcPr>
          <w:p>
            <w:pPr>
              <w:spacing w:after="0"/>
            </w:pPr>
            <w:r>
              <w:rPr>
                <w:rFonts w:ascii="Helvetica" w:hAnsi="Helvetica" w:cs="Helvetica"/>
                <w:b/>
                <w:sz w:val="18"/>
                <w:szCs w:val="18"/>
              </w:rPr>
              <w:t xml:space="preserve">valor</w:t>
            </w:r>
          </w:p>
        </w:tc>
      </w:tr>
      <w:tr>
        <w:tc>
          <w:tcPr>
            <w:tcW w:w="4830" w:type="dxa"/>
          </w:tcPr>
          <w:p>
            <w:pPr>
              <w:spacing w:after="0"/>
            </w:pPr>
            <w:r>
              <w:rPr>
                <w:rFonts w:ascii="Helvetica" w:hAnsi="Helvetica" w:cs="Helvetica"/>
                <w:sz w:val="18"/>
                <w:szCs w:val="18"/>
              </w:rPr>
              <w:t xml:space="preserve">Deputado Max Maciel, Deputada Dayse Amarilio, Deputado Fábio Felix, Deputada Paula Belmonte, Deputado Gabriel Magno, Deputado Wellington Luiz, Deputada Doutora Jane, Deputado Ricardo Vale</w:t>
            </w:r>
          </w:p>
        </w:tc>
        <w:tc>
          <w:tcPr>
            <w:tcW w:w="4830" w:type="dxa"/>
          </w:tcPr>
          <w:p>
            <w:pPr>
              <w:spacing w:after="0"/>
            </w:pPr>
            <w:r>
              <w:rPr>
                <w:rFonts w:ascii="Helvetica" w:hAnsi="Helvetica" w:cs="Helvetica"/>
                <w:sz w:val="18"/>
                <w:szCs w:val="18"/>
              </w:rPr>
              <w:t xml:space="preserve">1</w:t>
            </w:r>
          </w:p>
        </w:tc>
      </w:tr>
      <w:tr>
        <w:tc>
          <w:tcPr>
            <w:tcW w:w="4830" w:type="dxa"/>
          </w:tcPr>
          <w:p>
            <w:pPr>
              <w:spacing w:after="0"/>
            </w:pPr>
            <w:r>
              <w:rPr>
                <w:rFonts w:ascii="Helvetica" w:hAnsi="Helvetica" w:cs="Helvetica"/>
                <w:sz w:val="18"/>
                <w:szCs w:val="18"/>
              </w:rPr>
              <w:t xml:space="preserve">Deputado Joaquim Roriz Neto, Deputado Pastor Daniel de Castro, Deputado Hermeto, Deputado Rogério Morro da Cruz, Deputado Eduardo Pedrosa, Deputada Doutora Jane, Deputado Pepa, Deputado Martins Machado, Deputado Iolando, Deputada Paula Belmonte, Deputado João Cardoso , Deputado Max Maciel, Deputado Robério Negreiros, Deputado Daniel Donizet</w:t>
            </w:r>
          </w:p>
        </w:tc>
        <w:tc>
          <w:tcPr>
            <w:tcW w:w="4830" w:type="dxa"/>
          </w:tcPr>
          <w:p>
            <w:pPr>
              <w:spacing w:after="0"/>
            </w:pPr>
            <w:r>
              <w:rPr>
                <w:rFonts w:ascii="Helvetica" w:hAnsi="Helvetica" w:cs="Helvetica"/>
                <w:sz w:val="18"/>
                <w:szCs w:val="18"/>
              </w:rPr>
              <w:t xml:space="preserve">1</w:t>
            </w:r>
          </w:p>
        </w:tc>
      </w:tr>
    </w:tbl>
    <w:p>
      <w:pPr>
        <w:spacing w:after="0"/>
      </w:pPr>
    </w:p>
    <w:p>
      <w:pPr>
        <w:spacing w:before="240" w:after="60"/>
      </w:pPr>
      <w:r>
        <w:rPr>
          <w:rFonts w:ascii="Helvetica" w:hAnsi="Helvetica" w:cs="Helvetica"/>
          <w:b/>
          <w:sz w:val="24"/>
          <w:szCs w:val="24"/>
        </w:rPr>
        <w:t xml:space="preserve">Também informa</w:t>
      </w:r>
    </w:p>
    <w:p>
      <w:pPr>
        <w:spacing w:before="0" w:after="60"/>
        <w:ind w:left="200"/>
        <w:pBdr>
          <w:left w:val="single" w:sz="18" w:space="6" w:color="333333"/>
        </w:pBdr>
      </w:pPr>
      <w:r>
        <w:rPr>
          <w:rFonts w:ascii="Helvetica" w:hAnsi="Helvetica" w:cs="Helvetica"/>
          <w:sz w:val="20"/>
          <w:szCs w:val="20"/>
        </w:rPr>
        <w:t xml:space="preserve">universo pequeno e contado, não amostrado: 5 requerimentos ao todo. Nenhum sinal do registro de qualidade audita esta tabela; os números são a recontagem direta da fonte.</w:t>
      </w:r>
    </w:p>
    <w:p>
      <w:pPr>
        <w:spacing w:before="240" w:after="60"/>
      </w:pPr>
      <w:r>
        <w:rPr>
          <w:rFonts w:ascii="Helvetica" w:hAnsi="Helvetica" w:cs="Helvetica"/>
          <w:b/>
          <w:sz w:val="24"/>
          <w:szCs w:val="24"/>
        </w:rPr>
        <w:t xml:space="preserve">Fonte, janela e data</w:t>
      </w:r>
    </w:p>
    <w:tbl>
      <w:tblPr>
        <w:tblW w:w="96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3220" w:type="dxa"/>
          </w:tcPr>
          <w:p>
            <w:pPr>
              <w:spacing w:after="0"/>
            </w:pPr>
            <w:r>
              <w:rPr>
                <w:rFonts w:ascii="Helvetica" w:hAnsi="Helvetica" w:cs="Helvetica"/>
                <w:b/>
                <w:sz w:val="18"/>
                <w:szCs w:val="18"/>
              </w:rPr>
              <w:t xml:space="preserve">tabela publicada</w:t>
            </w:r>
          </w:p>
        </w:tc>
        <w:tc>
          <w:tcPr>
            <w:tcW w:w="3220" w:type="dxa"/>
          </w:tcPr>
          <w:p>
            <w:pPr>
              <w:spacing w:after="0"/>
            </w:pPr>
            <w:r>
              <w:rPr>
                <w:rFonts w:ascii="Helvetica" w:hAnsi="Helvetica" w:cs="Helvetica"/>
                <w:b/>
                <w:sz w:val="18"/>
                <w:szCs w:val="18"/>
              </w:rPr>
              <w:t xml:space="preserve">linhas</w:t>
            </w:r>
          </w:p>
        </w:tc>
        <w:tc>
          <w:tcPr>
            <w:tcW w:w="3220" w:type="dxa"/>
          </w:tcPr>
          <w:p>
            <w:pPr>
              <w:spacing w:after="0"/>
            </w:pPr>
            <w:r>
              <w:rPr>
                <w:rFonts w:ascii="Helvetica" w:hAnsi="Helvetica" w:cs="Helvetica"/>
                <w:b/>
                <w:sz w:val="18"/>
                <w:szCs w:val="18"/>
              </w:rPr>
              <w:t xml:space="preserve">sha256 (16)</w:t>
            </w:r>
          </w:p>
        </w:tc>
      </w:tr>
      <w:tr>
        <w:tc>
          <w:tcPr>
            <w:tcW w:w="3220" w:type="dxa"/>
          </w:tcPr>
          <w:p>
            <w:pPr>
              <w:spacing w:after="0"/>
            </w:pPr>
            <w:r>
              <w:rPr>
                <w:rFonts w:ascii="Helvetica" w:hAnsi="Helvetica" w:cs="Helvetica"/>
                <w:sz w:val="18"/>
                <w:szCs w:val="18"/>
              </w:rPr>
              <w:t xml:space="preserve">proposicoes-em-regime-de-urgencia.csv</w:t>
            </w:r>
          </w:p>
        </w:tc>
        <w:tc>
          <w:tcPr>
            <w:tcW w:w="3220" w:type="dxa"/>
          </w:tcPr>
          <w:p>
            <w:pPr>
              <w:spacing w:after="0"/>
            </w:pPr>
            <w:r>
              <w:rPr>
                <w:rFonts w:ascii="Helvetica" w:hAnsi="Helvetica" w:cs="Helvetica"/>
                <w:sz w:val="18"/>
                <w:szCs w:val="18"/>
              </w:rPr>
              <w:t xml:space="preserve">5</w:t>
            </w:r>
          </w:p>
        </w:tc>
        <w:tc>
          <w:tcPr>
            <w:tcW w:w="3220" w:type="dxa"/>
          </w:tcPr>
          <w:p>
            <w:pPr>
              <w:spacing w:after="0"/>
            </w:pPr>
            <w:r>
              <w:rPr>
                <w:rFonts w:ascii="Helvetica" w:hAnsi="Helvetica" w:cs="Helvetica"/>
                <w:sz w:val="18"/>
                <w:szCs w:val="18"/>
              </w:rPr>
              <w:t xml:space="preserve">8ee31ef537bc5270</w:t>
            </w:r>
          </w:p>
        </w:tc>
      </w:tr>
    </w:tbl>
    <w:p>
      <w:pPr>
        <w:spacing w:after="0"/>
      </w:pPr>
    </w:p>
    <w:p>
      <w:pPr>
        <w:spacing w:after="60"/>
      </w:pPr>
      <w:r>
        <w:rPr>
          <w:rFonts w:ascii="Helvetica" w:hAnsi="Helvetica" w:cs="Helvetica"/>
          <w:sz w:val="17"/>
          <w:szCs w:val="17"/>
        </w:rPr>
        <w:t xml:space="preserve">Coleta das proposições realizada a partir de 21 de agosto de 2026; das votações, em 26–28 de agosto de 2026. Fontes: a API pública da Câmara Legislativa do Distrito Federal e o Painel de Votação do seu Portal da Transparência. Licença dos dados: CC BY-SA 4.0 ([../../LICENSE-data](../../LICENSE-data)) — re-escolhida na OS-083 para seguir a mesma licença que a maioria dos pacotes de dados.cl.df.gov.br já declara.</w:t>
      </w:r>
    </w:p>
    <w:p>
      <w:pPr>
        <w:spacing w:after="60"/>
      </w:pPr>
      <w:r>
        <w:rPr>
          <w:rFonts w:ascii="Helvetica" w:hAnsi="Helvetica" w:cs="Helvetica"/>
          <w:sz w:val="17"/>
          <w:szCs w:val="17"/>
        </w:rPr>
        <w:t xml:space="preserve">Dados: CC BY-SA 4.0. Código e interface: PolyForm Noncommercial 1.0.0. Você pode redistribuir e transformar estes números, citando a fonte e mantendo a mesma licença.</w:t>
      </w:r>
    </w:p>
    <w:p>
      <w:pPr>
        <w:spacing w:after="60"/>
      </w:pPr>
      <w:r>
        <w:rPr>
          <w:rFonts w:ascii="Helvetica" w:hAnsi="Helvetica" w:cs="Helvetica"/>
          <w:sz w:val="17"/>
          <w:szCs w:val="17"/>
        </w:rPr>
        <w:t xml:space="preserve">Esta página no site: https://maximusminus.github.io/cldf-dashboard/painel/perguntas/q07-regime-de-urgencia.html — o número desta página é reproduzível: a tabela acima está publicada inteira, com o seu sha256, e qualquer pessoa pode re-somá-la.</w:t>
      </w:r>
    </w:p>
    <w:sectPr>
      <w:pgSz w:w="11906" w:h="16838"/>
      <w:pgMar w:top="1120" w:right="1120" w:bottom="1120" w:left="1120" w:header="708" w:footer="708" w:gutter="0"/>
    </w:sectPr>
  </w:body>
</w:document>
</file>