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b/>
          <w:i w:val="0"/>
          <w:color w:val="5A6472"/>
          <w:sz w:val="26"/>
        </w:rPr>
        <w:t>INTEGRAAL CAPACITEITSMANAGEMENT</w:t>
      </w:r>
    </w:p>
    <w:p>
      <w:pPr>
        <w:spacing w:before="0" w:after="40" w:line="300" w:lineRule="auto"/>
        <w:jc w:val="center"/>
      </w:pPr>
      <w:r>
        <w:rPr>
          <w:b/>
          <w:i w:val="0"/>
          <w:color w:val="1F5FA8"/>
          <w:sz w:val="60"/>
        </w:rPr>
        <w:t>Acute poort en Hotfloor</w:t>
      </w:r>
    </w:p>
    <w:p>
      <w:pPr>
        <w:spacing w:before="0" w:after="360" w:line="300" w:lineRule="auto"/>
        <w:jc w:val="center"/>
      </w:pPr>
      <w:r>
        <w:rPr>
          <w:b w:val="0"/>
          <w:i w:val="0"/>
          <w:color w:val="6B3FA0"/>
          <w:sz w:val="30"/>
        </w:rPr>
        <w:t>Uitwerking van de whiteboardsessie</w:t>
      </w:r>
    </w:p>
    <w:p>
      <w:pPr>
        <w:pBdr>
          <w:bottom w:val="single" w:sz="12" w:space="4" w:color="6B3FA0"/>
        </w:pBdr>
        <w:spacing w:before="0" w:after="360" w:line="300" w:lineRule="auto"/>
        <w:jc w:val="center"/>
      </w:pPr>
    </w:p>
    <w:p>
      <w:pPr>
        <w:spacing w:before="0" w:after="800" w:line="300" w:lineRule="auto"/>
        <w:jc w:val="center"/>
      </w:pPr>
      <w:r>
        <w:rPr>
          <w:b w:val="0"/>
          <w:i w:val="0"/>
          <w:color w:val="5A6472"/>
          <w:sz w:val="24"/>
        </w:rPr>
        <w:t>Van huidige situatie naar nieuwbouw juni 2027</w:t>
      </w:r>
    </w:p>
    <w:tbl>
      <w:tblPr>
        <w:tblW w:type="auto" w:w="0"/>
        <w:jc w:val="center"/>
        <w:tblBorders>
          <w:top w:val="single" w:sz="4" w:space="0" w:color="D6DCE5"/>
          <w:left w:val="single" w:sz="4" w:space="0" w:color="D6DCE5"/>
          <w:bottom w:val="single" w:sz="4" w:space="0" w:color="D6DCE5"/>
          <w:right w:val="single" w:sz="4" w:space="0" w:color="D6DCE5"/>
          <w:insideH w:val="single" w:sz="4" w:space="0" w:color="D6DCE5"/>
          <w:insideV w:val="single" w:sz="4" w:space="0" w:color="D6DCE5"/>
        </w:tblBorders>
        <w:tblLook w:firstColumn="1" w:firstRow="1" w:lastColumn="0" w:lastRow="0" w:noHBand="0" w:noVBand="1" w:val="04A0"/>
      </w:tblPr>
      <w:tblGrid>
        <w:gridCol w:w="4649"/>
        <w:gridCol w:w="4649"/>
      </w:tblGrid>
      <w:tr>
        <w:tc>
          <w:tcPr>
            <w:tcW w:type="dxa" w:w="2551"/>
            <w:shd w:val="clear" w:color="auto" w:fill="F2F4F7"/>
          </w:tcPr>
          <w:p>
            <w:r>
              <w:rPr>
                <w:b/>
                <w:color w:val="1F5FA8"/>
                <w:sz w:val="20"/>
              </w:rPr>
              <w:t>Onderwerp</w:t>
            </w:r>
          </w:p>
        </w:tc>
        <w:tc>
          <w:tcPr>
            <w:tcW w:type="dxa" w:w="6746"/>
          </w:tcPr>
          <w:p>
            <w:r>
              <w:rPr>
                <w:sz w:val="20"/>
              </w:rPr>
              <w:t>Acute poort, Hotfloor, scenario's en personele inzet</w:t>
            </w:r>
          </w:p>
        </w:tc>
      </w:tr>
      <w:tr>
        <w:tc>
          <w:tcPr>
            <w:tcW w:type="dxa" w:w="2551"/>
            <w:shd w:val="clear" w:color="auto" w:fill="F2F4F7"/>
          </w:tcPr>
          <w:p>
            <w:r>
              <w:rPr>
                <w:b/>
                <w:color w:val="1F5FA8"/>
                <w:sz w:val="20"/>
              </w:rPr>
              <w:t>Bron</w:t>
            </w:r>
          </w:p>
        </w:tc>
        <w:tc>
          <w:tcPr>
            <w:tcW w:type="dxa" w:w="6746"/>
          </w:tcPr>
          <w:p>
            <w:r>
              <w:rPr>
                <w:sz w:val="20"/>
              </w:rPr>
              <w:t>Whiteboard 'Integraal Capaciteits Management' (foto 6 t/m 16)</w:t>
            </w:r>
          </w:p>
        </w:tc>
      </w:tr>
      <w:tr>
        <w:tc>
          <w:tcPr>
            <w:tcW w:type="dxa" w:w="2551"/>
            <w:shd w:val="clear" w:color="auto" w:fill="F2F4F7"/>
          </w:tcPr>
          <w:p>
            <w:r>
              <w:rPr>
                <w:b/>
                <w:color w:val="1F5FA8"/>
                <w:sz w:val="20"/>
              </w:rPr>
              <w:t>Betreft afdelingen</w:t>
            </w:r>
          </w:p>
        </w:tc>
        <w:tc>
          <w:tcPr>
            <w:tcW w:type="dxa" w:w="6746"/>
          </w:tcPr>
          <w:p>
            <w:r>
              <w:rPr>
                <w:sz w:val="20"/>
              </w:rPr>
              <w:t>ICU, CCU, SCU, EHH, SEH en kind spoed</w:t>
            </w:r>
          </w:p>
        </w:tc>
      </w:tr>
      <w:tr>
        <w:tc>
          <w:tcPr>
            <w:tcW w:type="dxa" w:w="2551"/>
            <w:shd w:val="clear" w:color="auto" w:fill="F2F4F7"/>
          </w:tcPr>
          <w:p>
            <w:r>
              <w:rPr>
                <w:b/>
                <w:color w:val="1F5FA8"/>
                <w:sz w:val="20"/>
              </w:rPr>
              <w:t>Status</w:t>
            </w:r>
          </w:p>
        </w:tc>
        <w:tc>
          <w:tcPr>
            <w:tcW w:type="dxa" w:w="6746"/>
          </w:tcPr>
          <w:p>
            <w:r>
              <w:rPr>
                <w:sz w:val="20"/>
              </w:rPr>
              <w:t>Werkdocument - onderdelen zijn nog open</w:t>
            </w:r>
          </w:p>
        </w:tc>
      </w:tr>
    </w:tbl>
    <w:p>
      <w:r>
        <w:br w:type="page"/>
      </w:r>
    </w:p>
    <w:p>
      <w:pPr>
        <w:pStyle w:val="Heading1"/>
        <w:pBdr>
          <w:bottom w:val="single" w:sz="6" w:space="4" w:color="1F5FA8"/>
        </w:pBdr>
        <w:spacing w:before="360" w:after="120"/>
      </w:pPr>
      <w:r>
        <w:rPr>
          <w:rFonts w:ascii="Calibri" w:hAnsi="Calibri"/>
          <w:color w:val="1F5FA8"/>
          <w:sz w:val="34"/>
        </w:rPr>
        <w:t>Inhoud</w:t>
      </w:r>
    </w:p>
    <w:p>
      <w:fldSimple w:instr="TOC \o &quot;1-2&quot; \h \z \u">
        <w:r>
          <w:t>Klik hier en druk op F9 om de inhoudsopgave bij te werken.</w:t>
        </w:r>
      </w:fldSimple>
    </w:p>
    <w:p>
      <w:pPr>
        <w:spacing w:before="0" w:after="120" w:line="300" w:lineRule="auto"/>
      </w:pPr>
      <w:r>
        <w:rPr>
          <w:b w:val="0"/>
          <w:i/>
          <w:color w:val="5A6472"/>
          <w:sz w:val="18"/>
        </w:rPr>
        <w:t>Tip: klik in de inhoudsopgave en druk op F9 om de paginanummers te laten vullen.</w:t>
      </w:r>
    </w:p>
    <w:p>
      <w:r>
        <w:br w:type="page"/>
      </w:r>
    </w:p>
    <w:p>
      <w:pPr>
        <w:pStyle w:val="Heading1"/>
        <w:pBdr>
          <w:bottom w:val="single" w:sz="6" w:space="4" w:color="1F5FA8"/>
        </w:pBdr>
        <w:spacing w:before="360" w:after="120"/>
      </w:pPr>
      <w:r>
        <w:rPr>
          <w:rFonts w:ascii="Calibri" w:hAnsi="Calibri"/>
          <w:color w:val="1F5FA8"/>
          <w:sz w:val="34"/>
        </w:rPr>
        <w:t>Leeswijzer</w:t>
      </w:r>
    </w:p>
    <w:p>
      <w:pPr>
        <w:spacing w:before="0" w:after="120" w:line="300" w:lineRule="auto"/>
      </w:pPr>
      <w:r>
        <w:rPr>
          <w:b w:val="0"/>
          <w:i w:val="0"/>
          <w:color w:val="1B2430"/>
          <w:sz w:val="21"/>
        </w:rPr>
        <w:t>De sessie is vastgelegd op twee whiteboards. Dit document volgt de volgorde waarin die borden zijn gefotografeerd: eerst het acute-zorgbord met de analyse, het stappenplan en de scenario's, daarna het capaciteitsbord met de tijdlijn en de plattegrond, en tot slot het totaaloverzicht.</w:t>
      </w:r>
    </w:p>
    <w:p>
      <w:pPr>
        <w:spacing w:before="0" w:after="120" w:line="300" w:lineRule="auto"/>
      </w:pPr>
      <w:r>
        <w:rPr>
          <w:b w:val="0"/>
          <w:i w:val="0"/>
          <w:color w:val="1B2430"/>
          <w:sz w:val="21"/>
        </w:rPr>
        <w:t>Elk hoofdstuk bestaat uit een visualisatie en daaronder de inhoud van het bord in tekst. Onder elke hoofdstuktitel staat naar welke foto het hoofdstuk verwijst.</w:t>
      </w:r>
    </w:p>
    <w:tbl>
      <w:tblPr>
        <w:tblW w:type="auto" w:w="0"/>
        <w:jc w:val="center"/>
        <w:tblBorders>
          <w:top w:val="single" w:sz="4" w:space="0" w:color="D6DCE5"/>
          <w:left w:val="single" w:sz="4" w:space="0" w:color="D6DCE5"/>
          <w:bottom w:val="single" w:sz="4" w:space="0" w:color="D6DCE5"/>
          <w:right w:val="single" w:sz="4" w:space="0" w:color="D6DCE5"/>
          <w:insideH w:val="single" w:sz="4" w:space="0" w:color="D6DCE5"/>
          <w:insideV w:val="single" w:sz="4" w:space="0" w:color="D6DCE5"/>
        </w:tblBorders>
        <w:tblLook w:firstColumn="1" w:firstRow="1" w:lastColumn="0" w:lastRow="0" w:noHBand="0" w:noVBand="1" w:val="04A0"/>
      </w:tblPr>
      <w:tblGrid>
        <w:gridCol w:w="4649"/>
        <w:gridCol w:w="4649"/>
      </w:tblGrid>
      <w:tr>
        <w:tc>
          <w:tcPr>
            <w:tcW w:type="dxa" w:w="3628"/>
            <w:shd w:val="clear" w:color="auto" w:fill="F2F4F7"/>
          </w:tcPr>
          <w:p>
            <w:r>
              <w:rPr>
                <w:b/>
                <w:color w:val="1F5FA8"/>
                <w:sz w:val="20"/>
              </w:rPr>
              <w:t>DEEL A - Het acute-zorgbord</w:t>
            </w:r>
          </w:p>
        </w:tc>
        <w:tc>
          <w:tcPr>
            <w:tcW w:type="dxa" w:w="5669"/>
          </w:tcPr>
          <w:p>
            <w:r>
              <w:rPr>
                <w:sz w:val="20"/>
              </w:rPr>
              <w:t>hoofdstuk 1 t/m 7   (foto 6, 7, 8, 9, 11, 13, 12)</w:t>
            </w:r>
          </w:p>
        </w:tc>
      </w:tr>
      <w:tr>
        <w:tc>
          <w:tcPr>
            <w:tcW w:type="dxa" w:w="3628"/>
            <w:shd w:val="clear" w:color="auto" w:fill="F2F4F7"/>
          </w:tcPr>
          <w:p>
            <w:r>
              <w:rPr>
                <w:b/>
                <w:color w:val="1F5FA8"/>
                <w:sz w:val="20"/>
              </w:rPr>
              <w:t>DEEL B - Het capaciteitsbord</w:t>
            </w:r>
          </w:p>
        </w:tc>
        <w:tc>
          <w:tcPr>
            <w:tcW w:type="dxa" w:w="5669"/>
          </w:tcPr>
          <w:p>
            <w:r>
              <w:rPr>
                <w:sz w:val="20"/>
              </w:rPr>
              <w:t>hoofdstuk 8 en 9   (foto 15, 14)</w:t>
            </w:r>
          </w:p>
        </w:tc>
      </w:tr>
      <w:tr>
        <w:tc>
          <w:tcPr>
            <w:tcW w:type="dxa" w:w="3628"/>
            <w:shd w:val="clear" w:color="auto" w:fill="F2F4F7"/>
          </w:tcPr>
          <w:p>
            <w:r>
              <w:rPr>
                <w:b/>
                <w:color w:val="1F5FA8"/>
                <w:sz w:val="20"/>
              </w:rPr>
              <w:t>DEEL C - Totaaloverzicht</w:t>
            </w:r>
          </w:p>
        </w:tc>
        <w:tc>
          <w:tcPr>
            <w:tcW w:type="dxa" w:w="5669"/>
          </w:tcPr>
          <w:p>
            <w:r>
              <w:rPr>
                <w:sz w:val="20"/>
              </w:rPr>
              <w:t>hoofdstuk 10   (foto 16)</w:t>
            </w:r>
          </w:p>
        </w:tc>
      </w:tr>
    </w:tbl>
    <w:p>
      <w:pPr>
        <w:spacing w:before="0" w:after="120" w:line="300" w:lineRule="auto"/>
      </w:pPr>
    </w:p>
    <w:tbl>
      <w:tblPr>
        <w:tblW w:type="auto" w:w="0"/>
        <w:jc w:val="center"/>
        <w:tblBorders>
          <w:top w:val="single" w:sz="8" w:space="0" w:color="5A6472"/>
          <w:left w:val="single" w:sz="8" w:space="0" w:color="5A6472"/>
          <w:bottom w:val="single" w:sz="8" w:space="0" w:color="5A6472"/>
          <w:right w:val="single" w:sz="8" w:space="0" w:color="5A6472"/>
          <w:insideH w:val="single" w:sz="8" w:space="0" w:color="5A6472"/>
          <w:insideV w:val="single" w:sz="8" w:space="0" w:color="5A6472"/>
        </w:tblBorders>
        <w:tblLook w:firstColumn="1" w:firstRow="1" w:lastColumn="0" w:lastRow="0" w:noHBand="0" w:noVBand="1" w:val="04A0"/>
      </w:tblPr>
      <w:tblGrid>
        <w:gridCol w:w="9298"/>
      </w:tblGrid>
      <w:tr>
        <w:tc>
          <w:tcPr>
            <w:tcW w:type="dxa" w:w="9298"/>
            <w:shd w:val="clear" w:color="auto" w:fill="F2F4F7"/>
          </w:tcPr>
          <w:p>
            <w:pPr>
              <w:spacing w:after="80"/>
            </w:pPr>
            <w:r>
              <w:rPr>
                <w:b/>
                <w:color w:val="5A6472"/>
                <w:sz w:val="22"/>
              </w:rPr>
              <w:t>Afkortingen op het bord</w:t>
            </w:r>
          </w:p>
          <w:p>
            <w:pPr>
              <w:spacing w:after="40" w:line="288" w:lineRule="auto"/>
            </w:pPr>
            <w:r>
              <w:rPr>
                <w:color w:val="1B2430"/>
                <w:sz w:val="20"/>
              </w:rPr>
              <w:t>SEH - Spoedeisende hulp</w:t>
            </w:r>
          </w:p>
          <w:p>
            <w:pPr>
              <w:spacing w:after="40" w:line="288" w:lineRule="auto"/>
            </w:pPr>
            <w:r>
              <w:rPr>
                <w:color w:val="1B2430"/>
                <w:sz w:val="20"/>
              </w:rPr>
              <w:t>EHH - Eerste hart hulp</w:t>
            </w:r>
          </w:p>
          <w:p>
            <w:pPr>
              <w:spacing w:after="40" w:line="288" w:lineRule="auto"/>
            </w:pPr>
            <w:r>
              <w:rPr>
                <w:color w:val="1B2430"/>
                <w:sz w:val="20"/>
              </w:rPr>
              <w:t>ICU - Intensive care unit</w:t>
            </w:r>
          </w:p>
          <w:p>
            <w:pPr>
              <w:spacing w:after="40" w:line="288" w:lineRule="auto"/>
            </w:pPr>
            <w:r>
              <w:rPr>
                <w:color w:val="1B2430"/>
                <w:sz w:val="20"/>
              </w:rPr>
              <w:t>CCU - Coronary care unit</w:t>
            </w:r>
          </w:p>
          <w:p>
            <w:pPr>
              <w:spacing w:after="40" w:line="288" w:lineRule="auto"/>
            </w:pPr>
            <w:r>
              <w:rPr>
                <w:color w:val="1B2430"/>
                <w:sz w:val="20"/>
              </w:rPr>
              <w:t>SCU - Stroke care unit</w:t>
            </w:r>
          </w:p>
          <w:p>
            <w:pPr>
              <w:spacing w:after="40" w:line="288" w:lineRule="auto"/>
            </w:pPr>
            <w:r>
              <w:rPr>
                <w:color w:val="1B2430"/>
                <w:sz w:val="20"/>
              </w:rPr>
              <w:t>CPP - capaciteits- en personeelsplanning</w:t>
            </w:r>
          </w:p>
          <w:p>
            <w:pPr>
              <w:spacing w:after="40" w:line="288" w:lineRule="auto"/>
            </w:pPr>
            <w:r>
              <w:rPr>
                <w:color w:val="1B2430"/>
                <w:sz w:val="20"/>
              </w:rPr>
              <w:t>BI - business intelligence (databron voor de onderbouwing)</w:t>
            </w:r>
          </w:p>
          <w:p>
            <w:pPr>
              <w:spacing w:after="40" w:line="288" w:lineRule="auto"/>
            </w:pPr>
            <w:r>
              <w:rPr>
                <w:color w:val="1B2430"/>
                <w:sz w:val="20"/>
              </w:rPr>
              <w:t>D / T / L / N - dag-, tussen-, laat- en nachtdienst</w:t>
            </w:r>
          </w:p>
          <w:p>
            <w:pPr>
              <w:spacing w:after="40" w:line="288" w:lineRule="auto"/>
            </w:pPr>
            <w:r>
              <w:rPr>
                <w:color w:val="1B2430"/>
                <w:sz w:val="20"/>
              </w:rPr>
              <w:t>vpk - verpleegkundige</w:t>
            </w:r>
          </w:p>
        </w:tc>
      </w:tr>
    </w:tbl>
    <w:p>
      <w:pPr>
        <w:spacing w:after="80"/>
      </w:pPr>
    </w:p>
    <w:p>
      <w:r>
        <w:br w:type="page"/>
      </w:r>
    </w:p>
    <w:tbl>
      <w:tblPr>
        <w:tblW w:type="auto" w:w="0"/>
        <w:jc w:val="center"/>
        <w:tblBorders>
          <w:top w:val="single" w:sz="4" w:space="0" w:color="1F5FA8"/>
          <w:left w:val="single" w:sz="4" w:space="0" w:color="1F5FA8"/>
          <w:bottom w:val="single" w:sz="4" w:space="0" w:color="1F5FA8"/>
          <w:right w:val="single" w:sz="4" w:space="0" w:color="1F5FA8"/>
          <w:insideH w:val="single" w:sz="4" w:space="0" w:color="1F5FA8"/>
          <w:insideV w:val="single" w:sz="4" w:space="0" w:color="1F5FA8"/>
        </w:tblBorders>
        <w:tblLook w:firstColumn="1" w:firstRow="1" w:lastColumn="0" w:lastRow="0" w:noHBand="0" w:noVBand="1" w:val="04A0"/>
      </w:tblPr>
      <w:tblGrid>
        <w:gridCol w:w="9298"/>
      </w:tblGrid>
      <w:tr>
        <w:tc>
          <w:tcPr>
            <w:tcW w:type="dxa" w:w="9298"/>
            <w:shd w:val="clear" w:color="auto" w:fill="1F5FA8"/>
          </w:tcPr>
          <w:p>
            <w:pPr>
              <w:spacing w:before="120" w:after="40"/>
              <w:jc w:val="center"/>
            </w:pPr>
            <w:r>
              <w:rPr>
                <w:b/>
                <w:color w:val="FFFFFF"/>
                <w:sz w:val="22"/>
              </w:rPr>
              <w:t>DEEL A</w:t>
            </w:r>
          </w:p>
          <w:p>
            <w:pPr>
              <w:spacing w:after="120"/>
              <w:jc w:val="center"/>
            </w:pPr>
            <w:r>
              <w:rPr>
                <w:b/>
                <w:color w:val="FFFFFF"/>
                <w:sz w:val="32"/>
              </w:rPr>
              <w:t>Het acute-zorgbord</w:t>
            </w:r>
          </w:p>
        </w:tc>
      </w:tr>
    </w:tbl>
    <w:p>
      <w:pPr>
        <w:spacing w:after="40"/>
      </w:pPr>
    </w:p>
    <w:p>
      <w:pPr>
        <w:pStyle w:val="Heading1"/>
        <w:pBdr>
          <w:bottom w:val="single" w:sz="6" w:space="4" w:color="1F5FA8"/>
        </w:pBdr>
        <w:spacing w:before="360" w:after="120"/>
      </w:pPr>
      <w:r>
        <w:rPr>
          <w:rFonts w:ascii="Calibri" w:hAnsi="Calibri"/>
          <w:color w:val="1F5FA8"/>
          <w:sz w:val="34"/>
        </w:rPr>
        <w:t>1. Overzicht van het acute-zorgbord</w:t>
      </w:r>
    </w:p>
    <w:p>
      <w:pPr>
        <w:spacing w:before="0" w:after="160"/>
      </w:pPr>
      <w:r>
        <w:rPr>
          <w:i/>
          <w:color w:val="5A6472"/>
          <w:sz w:val="18"/>
        </w:rPr>
        <w:t>Foto 6 - het hele bord in een opname</w:t>
      </w:r>
    </w:p>
    <w:p>
      <w:pPr>
        <w:spacing w:before="0" w:after="120" w:line="300" w:lineRule="auto"/>
      </w:pPr>
      <w:r>
        <w:rPr>
          <w:b w:val="0"/>
          <w:i w:val="0"/>
          <w:color w:val="1B2430"/>
          <w:sz w:val="21"/>
        </w:rPr>
        <w:t>Het acute-zorgbord bevat negen blokken. Ze horen bij elkaar: links staat wat er gepland is en welke scenario's er zijn, in het midden de verandering van oud naar nieuw en het stappenplan, en rechts de analyse van de twee grote wijzigingen.</w:t>
      </w:r>
    </w:p>
    <w:p>
      <w:pPr>
        <w:spacing w:before="120" w:after="40"/>
        <w:jc w:val="center"/>
      </w:pPr>
      <w:r>
        <w:drawing>
          <wp:inline xmlns:a="http://schemas.openxmlformats.org/drawingml/2006/main" xmlns:pic="http://schemas.openxmlformats.org/drawingml/2006/picture">
            <wp:extent cx="5903999" cy="3795428"/>
            <wp:docPr id="1" name="Picture 1"/>
            <wp:cNvGraphicFramePr>
              <a:graphicFrameLocks noChangeAspect="1"/>
            </wp:cNvGraphicFramePr>
            <a:graphic>
              <a:graphicData uri="http://schemas.openxmlformats.org/drawingml/2006/picture">
                <pic:pic>
                  <pic:nvPicPr>
                    <pic:cNvPr id="0" name="fig_bordoverzicht.png"/>
                    <pic:cNvPicPr/>
                  </pic:nvPicPr>
                  <pic:blipFill>
                    <a:blip r:embed="rId10"/>
                    <a:stretch>
                      <a:fillRect/>
                    </a:stretch>
                  </pic:blipFill>
                  <pic:spPr>
                    <a:xfrm>
                      <a:off x="0" y="0"/>
                      <a:ext cx="5903999" cy="3795428"/>
                    </a:xfrm>
                    <a:prstGeom prst="rect"/>
                  </pic:spPr>
                </pic:pic>
              </a:graphicData>
            </a:graphic>
          </wp:inline>
        </w:drawing>
      </w:r>
    </w:p>
    <w:p>
      <w:pPr>
        <w:spacing w:after="240"/>
        <w:jc w:val="center"/>
      </w:pPr>
      <w:r>
        <w:rPr>
          <w:i/>
          <w:color w:val="5A6472"/>
          <w:sz w:val="18"/>
        </w:rPr>
        <w:t>Figuur 1 - Schematische kaart van het acute-zorgbord, met de hoofdstukken erbij</w:t>
      </w:r>
    </w:p>
    <w:p>
      <w:pPr>
        <w:pStyle w:val="Heading2"/>
        <w:spacing w:before="240" w:after="120"/>
      </w:pPr>
      <w:r>
        <w:rPr>
          <w:rFonts w:ascii="Calibri" w:hAnsi="Calibri"/>
          <w:color w:val="1F5FA8"/>
          <w:sz w:val="26"/>
        </w:rPr>
        <w:t>Hoe de blokken samenhangen</w:t>
      </w:r>
    </w:p>
    <w:p>
      <w:pPr>
        <w:pStyle w:val="ListBullet"/>
        <w:spacing w:after="60" w:line="288" w:lineRule="auto"/>
      </w:pPr>
      <w:r>
        <w:rPr>
          <w:color w:val="1B2430"/>
          <w:sz w:val="21"/>
        </w:rPr>
        <w:t>Rechts staat de conclusie: de acute poort past niet, de Hotfloor past wel (hoofdstuk 2 en 3).</w:t>
      </w:r>
    </w:p>
    <w:p>
      <w:pPr>
        <w:pStyle w:val="ListBullet"/>
        <w:spacing w:after="60" w:line="288" w:lineRule="auto"/>
      </w:pPr>
      <w:r>
        <w:rPr>
          <w:color w:val="1B2430"/>
          <w:sz w:val="21"/>
        </w:rPr>
        <w:t>In het midden staat hoe je van daaruit verder komt: het stappenplan (hoofdstuk 4).</w:t>
      </w:r>
    </w:p>
    <w:p>
      <w:pPr>
        <w:pStyle w:val="ListBullet"/>
        <w:spacing w:after="60" w:line="288" w:lineRule="auto"/>
      </w:pPr>
      <w:r>
        <w:rPr>
          <w:color w:val="1B2430"/>
          <w:sz w:val="21"/>
        </w:rPr>
        <w:t>Links staat wat er nog open is en welke scenario's er liggen (hoofdstuk 5 en 6).</w:t>
      </w:r>
    </w:p>
    <w:p>
      <w:r>
        <w:br w:type="page"/>
      </w:r>
    </w:p>
    <w:p>
      <w:pPr>
        <w:pStyle w:val="Heading1"/>
        <w:pBdr>
          <w:bottom w:val="single" w:sz="6" w:space="4" w:color="1F5FA8"/>
        </w:pBdr>
        <w:spacing w:before="360" w:after="120"/>
      </w:pPr>
      <w:r>
        <w:rPr>
          <w:rFonts w:ascii="Calibri" w:hAnsi="Calibri"/>
          <w:color w:val="1F5FA8"/>
          <w:sz w:val="34"/>
        </w:rPr>
        <w:t>2. Analyse: past de acute poort?</w:t>
      </w:r>
    </w:p>
    <w:p>
      <w:pPr>
        <w:spacing w:before="0" w:after="160"/>
      </w:pPr>
      <w:r>
        <w:rPr>
          <w:i/>
          <w:color w:val="5A6472"/>
          <w:sz w:val="18"/>
        </w:rPr>
        <w:t>Foto 7 - rechterkolom van het bord, bovenste deel</w:t>
      </w:r>
    </w:p>
    <w:p>
      <w:pPr>
        <w:spacing w:before="0" w:after="120" w:line="300" w:lineRule="auto"/>
      </w:pPr>
      <w:r>
        <w:rPr>
          <w:b w:val="0"/>
          <w:i w:val="0"/>
          <w:color w:val="1B2430"/>
          <w:sz w:val="21"/>
        </w:rPr>
        <w:t>De eerste grote wijziging is de acute poort: kind spoed, EHH en SEH komen samen achter een poort. De analyse laat zien dat dit in de huidige opzet niet past.</w:t>
      </w:r>
    </w:p>
    <w:p>
      <w:pPr>
        <w:spacing w:before="120" w:after="40"/>
        <w:jc w:val="center"/>
      </w:pPr>
      <w:r>
        <w:drawing>
          <wp:inline xmlns:a="http://schemas.openxmlformats.org/drawingml/2006/main" xmlns:pic="http://schemas.openxmlformats.org/drawingml/2006/picture">
            <wp:extent cx="5903999" cy="3500228"/>
            <wp:docPr id="2" name="Picture 2"/>
            <wp:cNvGraphicFramePr>
              <a:graphicFrameLocks noChangeAspect="1"/>
            </wp:cNvGraphicFramePr>
            <a:graphic>
              <a:graphicData uri="http://schemas.openxmlformats.org/drawingml/2006/picture">
                <pic:pic>
                  <pic:nvPicPr>
                    <pic:cNvPr id="0" name="fig_acutepoort.png"/>
                    <pic:cNvPicPr/>
                  </pic:nvPicPr>
                  <pic:blipFill>
                    <a:blip r:embed="rId11"/>
                    <a:stretch>
                      <a:fillRect/>
                    </a:stretch>
                  </pic:blipFill>
                  <pic:spPr>
                    <a:xfrm>
                      <a:off x="0" y="0"/>
                      <a:ext cx="5903999" cy="3500228"/>
                    </a:xfrm>
                    <a:prstGeom prst="rect"/>
                  </pic:spPr>
                </pic:pic>
              </a:graphicData>
            </a:graphic>
          </wp:inline>
        </w:drawing>
      </w:r>
    </w:p>
    <w:p>
      <w:pPr>
        <w:spacing w:after="240"/>
        <w:jc w:val="center"/>
      </w:pPr>
      <w:r>
        <w:rPr>
          <w:i/>
          <w:color w:val="5A6472"/>
          <w:sz w:val="18"/>
        </w:rPr>
        <w:t>Figuur 2 - Analyse van de acute poort en het doel dat eronder ligt</w:t>
      </w:r>
    </w:p>
    <w:p>
      <w:pPr>
        <w:pStyle w:val="Heading2"/>
        <w:spacing w:before="240" w:after="120"/>
      </w:pPr>
      <w:r>
        <w:rPr>
          <w:rFonts w:ascii="Calibri" w:hAnsi="Calibri"/>
          <w:color w:val="1F5FA8"/>
          <w:sz w:val="26"/>
        </w:rPr>
        <w:t>Wat staat er op het bord</w:t>
      </w:r>
    </w:p>
    <w:p>
      <w:pPr>
        <w:pStyle w:val="ListBullet"/>
        <w:spacing w:after="60" w:line="288" w:lineRule="auto"/>
      </w:pPr>
      <w:r>
        <w:rPr>
          <w:color w:val="1B2430"/>
          <w:sz w:val="21"/>
        </w:rPr>
        <w:t>1 acute poort past niet voor kind, EHH en SEH samen.</w:t>
      </w:r>
    </w:p>
    <w:p>
      <w:pPr>
        <w:pStyle w:val="ListBullet"/>
        <w:spacing w:after="60" w:line="288" w:lineRule="auto"/>
      </w:pPr>
      <w:r>
        <w:rPr>
          <w:color w:val="1B2430"/>
          <w:sz w:val="21"/>
        </w:rPr>
        <w:t>Analyse op dag- en uurniveau.</w:t>
      </w:r>
    </w:p>
    <w:p>
      <w:pPr>
        <w:pStyle w:val="ListBullet"/>
        <w:spacing w:after="60" w:line="288" w:lineRule="auto"/>
      </w:pPr>
      <w:r>
        <w:rPr>
          <w:color w:val="1B2430"/>
          <w:sz w:val="21"/>
        </w:rPr>
        <w:t>Jaarpatroon in beeld brengen.</w:t>
      </w:r>
    </w:p>
    <w:p>
      <w:pPr>
        <w:pStyle w:val="ListBullet"/>
        <w:spacing w:after="60" w:line="288" w:lineRule="auto"/>
      </w:pPr>
      <w:r>
        <w:rPr>
          <w:color w:val="1B2430"/>
          <w:sz w:val="21"/>
        </w:rPr>
        <w:t>Data is beschikbaar; vervolgactie bepalen.</w:t>
      </w:r>
    </w:p>
    <w:p>
      <w:pPr>
        <w:pStyle w:val="ListBullet"/>
        <w:spacing w:after="60" w:line="288" w:lineRule="auto"/>
      </w:pPr>
      <w:r>
        <w:rPr>
          <w:color w:val="1B2430"/>
          <w:sz w:val="21"/>
        </w:rPr>
        <w:t>Doel: de zorg past fysiek op de nieuwe SEH.</w:t>
      </w:r>
    </w:p>
    <w:p>
      <w:pPr>
        <w:pStyle w:val="ListBullet"/>
        <w:spacing w:after="60" w:line="288" w:lineRule="auto"/>
      </w:pPr>
      <w:r>
        <w:rPr>
          <w:color w:val="1B2430"/>
          <w:sz w:val="21"/>
        </w:rPr>
        <w:t>Fysieke plekken: hoeveel plekken zijn er nodig?</w:t>
      </w:r>
    </w:p>
    <w:p>
      <w:r>
        <w:br w:type="page"/>
      </w:r>
    </w:p>
    <w:p>
      <w:pPr>
        <w:pStyle w:val="Heading1"/>
        <w:pBdr>
          <w:bottom w:val="single" w:sz="6" w:space="4" w:color="0E9A87"/>
        </w:pBdr>
        <w:spacing w:before="360" w:after="120"/>
      </w:pPr>
      <w:r>
        <w:rPr>
          <w:rFonts w:ascii="Calibri" w:hAnsi="Calibri"/>
          <w:color w:val="0E9A87"/>
          <w:sz w:val="34"/>
        </w:rPr>
        <w:t>3. Analyse: past de Hotfloor? En waar valt de EHH onder?</w:t>
      </w:r>
    </w:p>
    <w:p>
      <w:pPr>
        <w:spacing w:before="0" w:after="160"/>
      </w:pPr>
      <w:r>
        <w:rPr>
          <w:i/>
          <w:color w:val="5A6472"/>
          <w:sz w:val="18"/>
        </w:rPr>
        <w:t>Foto 8 - rechterkolom van het bord, onderste deel</w:t>
      </w:r>
    </w:p>
    <w:p>
      <w:pPr>
        <w:spacing w:before="0" w:after="120" w:line="300" w:lineRule="auto"/>
      </w:pPr>
      <w:r>
        <w:rPr>
          <w:b w:val="0"/>
          <w:i w:val="0"/>
          <w:color w:val="1B2430"/>
          <w:sz w:val="21"/>
        </w:rPr>
        <w:t>De tweede grote wijziging is de Hotfloor: ICU, CCU en SCU samen. Deze analyse valt anders uit dan die van de acute poort. Onderaan het bord staat de vraag die beide wijzigingen raakt: waar valt de EHH onder?</w:t>
      </w:r>
    </w:p>
    <w:p>
      <w:pPr>
        <w:spacing w:before="120" w:after="40"/>
        <w:jc w:val="center"/>
      </w:pPr>
      <w:r>
        <w:drawing>
          <wp:inline xmlns:a="http://schemas.openxmlformats.org/drawingml/2006/main" xmlns:pic="http://schemas.openxmlformats.org/drawingml/2006/picture">
            <wp:extent cx="5903999" cy="4217142"/>
            <wp:docPr id="3" name="Picture 3"/>
            <wp:cNvGraphicFramePr>
              <a:graphicFrameLocks noChangeAspect="1"/>
            </wp:cNvGraphicFramePr>
            <a:graphic>
              <a:graphicData uri="http://schemas.openxmlformats.org/drawingml/2006/picture">
                <pic:pic>
                  <pic:nvPicPr>
                    <pic:cNvPr id="0" name="fig_hotfloor.png"/>
                    <pic:cNvPicPr/>
                  </pic:nvPicPr>
                  <pic:blipFill>
                    <a:blip r:embed="rId12"/>
                    <a:stretch>
                      <a:fillRect/>
                    </a:stretch>
                  </pic:blipFill>
                  <pic:spPr>
                    <a:xfrm>
                      <a:off x="0" y="0"/>
                      <a:ext cx="5903999" cy="4217142"/>
                    </a:xfrm>
                    <a:prstGeom prst="rect"/>
                  </pic:spPr>
                </pic:pic>
              </a:graphicData>
            </a:graphic>
          </wp:inline>
        </w:drawing>
      </w:r>
    </w:p>
    <w:p>
      <w:pPr>
        <w:spacing w:after="240"/>
        <w:jc w:val="center"/>
      </w:pPr>
      <w:r>
        <w:rPr>
          <w:i/>
          <w:color w:val="5A6472"/>
          <w:sz w:val="18"/>
        </w:rPr>
        <w:t>Figuur 3 - Analyse van de Hotfloor en de EHH-vraag die beide wijzigingen raakt</w:t>
      </w:r>
    </w:p>
    <w:p>
      <w:pPr>
        <w:pStyle w:val="Heading2"/>
        <w:spacing w:before="240" w:after="120"/>
      </w:pPr>
      <w:r>
        <w:rPr>
          <w:rFonts w:ascii="Calibri" w:hAnsi="Calibri"/>
          <w:color w:val="0E9A87"/>
          <w:sz w:val="26"/>
        </w:rPr>
        <w:t>Wat staat er op het bord</w:t>
      </w:r>
    </w:p>
    <w:p>
      <w:pPr>
        <w:pStyle w:val="ListBullet"/>
        <w:spacing w:after="60" w:line="288" w:lineRule="auto"/>
      </w:pPr>
      <w:r>
        <w:rPr>
          <w:color w:val="1B2430"/>
          <w:sz w:val="21"/>
        </w:rPr>
        <w:t>Hotfloor op 16 bedden past wel.</w:t>
      </w:r>
    </w:p>
    <w:p>
      <w:pPr>
        <w:pStyle w:val="ListBullet"/>
        <w:spacing w:after="60" w:line="288" w:lineRule="auto"/>
      </w:pPr>
      <w:r>
        <w:rPr>
          <w:color w:val="1B2430"/>
          <w:sz w:val="21"/>
        </w:rPr>
        <w:t>Openstaand: wat is de weigeringskans?</w:t>
      </w:r>
    </w:p>
    <w:p>
      <w:pPr>
        <w:pStyle w:val="ListBullet"/>
        <w:spacing w:after="60" w:line="288" w:lineRule="auto"/>
      </w:pPr>
      <w:r>
        <w:rPr>
          <w:color w:val="1B2430"/>
          <w:sz w:val="21"/>
        </w:rPr>
        <w:t>Openstaand: komt de EHH er apart bij?</w:t>
      </w:r>
    </w:p>
    <w:p>
      <w:pPr>
        <w:pStyle w:val="ListBullet"/>
        <w:spacing w:after="60" w:line="288" w:lineRule="auto"/>
      </w:pPr>
      <w:r>
        <w:rPr>
          <w:color w:val="1B2430"/>
          <w:sz w:val="21"/>
        </w:rPr>
        <w:t>2 grote wijzigingen: (1) acute poort, drie stromen naar een poort; (2) Hotfloor, ICU/CCU/SCU samen.</w:t>
      </w:r>
    </w:p>
    <w:p>
      <w:pPr>
        <w:pStyle w:val="ListBullet"/>
        <w:spacing w:after="60" w:line="288" w:lineRule="auto"/>
      </w:pPr>
      <w:r>
        <w:rPr>
          <w:color w:val="1B2430"/>
          <w:sz w:val="21"/>
        </w:rPr>
        <w:t>Waar valt de EHH onder, bij 1 of bij 2? Daaruit volgen analyse, knelpunten en acties.</w:t>
      </w:r>
    </w:p>
    <w:p>
      <w:r>
        <w:br w:type="page"/>
      </w:r>
    </w:p>
    <w:p>
      <w:pPr>
        <w:pStyle w:val="Heading1"/>
        <w:pBdr>
          <w:bottom w:val="single" w:sz="6" w:space="4" w:color="6B3FA0"/>
        </w:pBdr>
        <w:spacing w:before="360" w:after="120"/>
      </w:pPr>
      <w:r>
        <w:rPr>
          <w:rFonts w:ascii="Calibri" w:hAnsi="Calibri"/>
          <w:color w:val="6B3FA0"/>
          <w:sz w:val="34"/>
        </w:rPr>
        <w:t>4. Stappenplan</w:t>
      </w:r>
    </w:p>
    <w:p>
      <w:pPr>
        <w:spacing w:before="0" w:after="160"/>
      </w:pPr>
      <w:r>
        <w:rPr>
          <w:i/>
          <w:color w:val="5A6472"/>
          <w:sz w:val="18"/>
        </w:rPr>
        <w:t>Foto 9 - middendeel van het bord</w:t>
      </w:r>
    </w:p>
    <w:p>
      <w:pPr>
        <w:spacing w:before="0" w:after="120" w:line="300" w:lineRule="auto"/>
      </w:pPr>
      <w:r>
        <w:rPr>
          <w:b w:val="0"/>
          <w:i w:val="0"/>
          <w:color w:val="1B2430"/>
          <w:sz w:val="21"/>
        </w:rPr>
        <w:t>Het stappenplan is de rode draad van het bord: het laat zien hoe je van een scenario komt tot een rooster dat klopt, en hoe je daarna blijft monitoren.</w:t>
      </w:r>
    </w:p>
    <w:p>
      <w:pPr>
        <w:spacing w:before="120" w:after="40"/>
        <w:jc w:val="center"/>
      </w:pPr>
      <w:r>
        <w:drawing>
          <wp:inline xmlns:a="http://schemas.openxmlformats.org/drawingml/2006/main" xmlns:pic="http://schemas.openxmlformats.org/drawingml/2006/picture">
            <wp:extent cx="5903999" cy="4554514"/>
            <wp:docPr id="4" name="Picture 4"/>
            <wp:cNvGraphicFramePr>
              <a:graphicFrameLocks noChangeAspect="1"/>
            </wp:cNvGraphicFramePr>
            <a:graphic>
              <a:graphicData uri="http://schemas.openxmlformats.org/drawingml/2006/picture">
                <pic:pic>
                  <pic:nvPicPr>
                    <pic:cNvPr id="0" name="fig10_stappenplan.png"/>
                    <pic:cNvPicPr/>
                  </pic:nvPicPr>
                  <pic:blipFill>
                    <a:blip r:embed="rId13"/>
                    <a:stretch>
                      <a:fillRect/>
                    </a:stretch>
                  </pic:blipFill>
                  <pic:spPr>
                    <a:xfrm>
                      <a:off x="0" y="0"/>
                      <a:ext cx="5903999" cy="4554514"/>
                    </a:xfrm>
                    <a:prstGeom prst="rect"/>
                  </pic:spPr>
                </pic:pic>
              </a:graphicData>
            </a:graphic>
          </wp:inline>
        </w:drawing>
      </w:r>
    </w:p>
    <w:p>
      <w:pPr>
        <w:spacing w:after="240"/>
        <w:jc w:val="center"/>
      </w:pPr>
      <w:r>
        <w:rPr>
          <w:i/>
          <w:color w:val="5A6472"/>
          <w:sz w:val="18"/>
        </w:rPr>
        <w:t>Figuur 4 - Stappenplan van scenario naar roostersleutel, planning en monitoring</w:t>
      </w:r>
    </w:p>
    <w:p>
      <w:pPr>
        <w:pStyle w:val="Heading2"/>
        <w:spacing w:before="240" w:after="120"/>
      </w:pPr>
      <w:r>
        <w:rPr>
          <w:rFonts w:ascii="Calibri" w:hAnsi="Calibri"/>
          <w:color w:val="6B3FA0"/>
          <w:sz w:val="26"/>
        </w:rPr>
        <w:t>De stappen</w:t>
      </w:r>
    </w:p>
    <w:p>
      <w:pPr>
        <w:pStyle w:val="ListNumber"/>
        <w:spacing w:after="60" w:line="288" w:lineRule="auto"/>
      </w:pPr>
      <w:r>
        <w:rPr>
          <w:color w:val="1B2430"/>
          <w:sz w:val="21"/>
        </w:rPr>
        <w:t>Scenario's uitwerken.</w:t>
      </w:r>
    </w:p>
    <w:p>
      <w:pPr>
        <w:pStyle w:val="ListNumber"/>
        <w:spacing w:after="60" w:line="288" w:lineRule="auto"/>
      </w:pPr>
      <w:r>
        <w:rPr>
          <w:color w:val="1B2430"/>
          <w:sz w:val="21"/>
        </w:rPr>
        <w:t>Keuze maken op basis van data uit BI.</w:t>
      </w:r>
    </w:p>
    <w:p>
      <w:pPr>
        <w:pStyle w:val="ListNumber"/>
        <w:spacing w:after="60" w:line="288" w:lineRule="auto"/>
      </w:pPr>
      <w:r>
        <w:rPr>
          <w:color w:val="1B2430"/>
          <w:sz w:val="21"/>
        </w:rPr>
        <w:t>Uitwerken in een week- en dagplan.</w:t>
      </w:r>
    </w:p>
    <w:p>
      <w:pPr>
        <w:pStyle w:val="ListNumber"/>
        <w:spacing w:after="60" w:line="288" w:lineRule="auto"/>
      </w:pPr>
      <w:r>
        <w:rPr>
          <w:color w:val="1B2430"/>
          <w:sz w:val="21"/>
        </w:rPr>
        <w:t>Verwerken in de roostersleutels.</w:t>
      </w:r>
    </w:p>
    <w:p>
      <w:pPr>
        <w:pStyle w:val="ListNumber"/>
        <w:spacing w:after="60" w:line="288" w:lineRule="auto"/>
      </w:pPr>
      <w:r>
        <w:rPr>
          <w:color w:val="1B2430"/>
          <w:sz w:val="21"/>
        </w:rPr>
        <w:t>Planning CPP.</w:t>
      </w:r>
    </w:p>
    <w:p>
      <w:pPr>
        <w:pStyle w:val="ListNumber"/>
        <w:spacing w:after="60" w:line="288" w:lineRule="auto"/>
      </w:pPr>
      <w:r>
        <w:rPr>
          <w:color w:val="1B2430"/>
          <w:sz w:val="21"/>
        </w:rPr>
        <w:t>Monitoring van instroom, stops en knelpunten, en monitoring van de urenoverzichten.</w:t>
      </w:r>
    </w:p>
    <w:p>
      <w:pPr>
        <w:spacing w:before="0" w:after="120" w:line="300" w:lineRule="auto"/>
      </w:pPr>
    </w:p>
    <w:tbl>
      <w:tblPr>
        <w:tblW w:type="auto" w:w="0"/>
        <w:jc w:val="center"/>
        <w:tblBorders>
          <w:top w:val="single" w:sz="8" w:space="0" w:color="6B3FA0"/>
          <w:left w:val="single" w:sz="8" w:space="0" w:color="6B3FA0"/>
          <w:bottom w:val="single" w:sz="8" w:space="0" w:color="6B3FA0"/>
          <w:right w:val="single" w:sz="8" w:space="0" w:color="6B3FA0"/>
          <w:insideH w:val="single" w:sz="8" w:space="0" w:color="6B3FA0"/>
          <w:insideV w:val="single" w:sz="8" w:space="0" w:color="6B3FA0"/>
        </w:tblBorders>
        <w:tblLook w:firstColumn="1" w:firstRow="1" w:lastColumn="0" w:lastRow="0" w:noHBand="0" w:noVBand="1" w:val="04A0"/>
      </w:tblPr>
      <w:tblGrid>
        <w:gridCol w:w="9298"/>
      </w:tblGrid>
      <w:tr>
        <w:tc>
          <w:tcPr>
            <w:tcW w:type="dxa" w:w="9298"/>
            <w:shd w:val="clear" w:color="auto" w:fill="F0EAF8"/>
          </w:tcPr>
          <w:p>
            <w:pPr>
              <w:spacing w:after="80"/>
            </w:pPr>
            <w:r>
              <w:rPr>
                <w:b/>
                <w:color w:val="6B3FA0"/>
                <w:sz w:val="22"/>
              </w:rPr>
              <w:t>Twee uitgangspunten bij het stappenplan</w:t>
            </w:r>
          </w:p>
          <w:p>
            <w:pPr>
              <w:spacing w:after="40" w:line="288" w:lineRule="auto"/>
            </w:pPr>
            <w:r>
              <w:rPr>
                <w:color w:val="1B2430"/>
                <w:sz w:val="20"/>
              </w:rPr>
              <w:t>Fysiek gaat voor personeel: eerst wat en waar, daarna volgt de personele inzet daaruit.</w:t>
            </w:r>
          </w:p>
          <w:p>
            <w:pPr>
              <w:spacing w:after="40" w:line="288" w:lineRule="auto"/>
            </w:pPr>
            <w:r>
              <w:rPr>
                <w:color w:val="1B2430"/>
                <w:sz w:val="20"/>
              </w:rPr>
              <w:t>Scheiden in perioden: nu en heel 2026, oudbouw 2027, de verhuisperiode, en de nieuwbouw vanaf juni 2027.</w:t>
            </w:r>
          </w:p>
        </w:tc>
      </w:tr>
    </w:tbl>
    <w:p>
      <w:pPr>
        <w:spacing w:after="80"/>
      </w:pPr>
    </w:p>
    <w:p>
      <w:r>
        <w:br w:type="page"/>
      </w:r>
    </w:p>
    <w:p>
      <w:pPr>
        <w:pStyle w:val="Heading1"/>
        <w:pBdr>
          <w:bottom w:val="single" w:sz="6" w:space="4" w:color="D2691E"/>
        </w:pBdr>
        <w:spacing w:before="360" w:after="120"/>
      </w:pPr>
      <w:r>
        <w:rPr>
          <w:rFonts w:ascii="Calibri" w:hAnsi="Calibri"/>
          <w:color w:val="D2691E"/>
          <w:sz w:val="34"/>
        </w:rPr>
        <w:t>5. Openstaande vragen</w:t>
      </w:r>
    </w:p>
    <w:p>
      <w:pPr>
        <w:spacing w:before="0" w:after="160"/>
      </w:pPr>
      <w:r>
        <w:rPr>
          <w:i/>
          <w:color w:val="5A6472"/>
          <w:sz w:val="18"/>
        </w:rPr>
        <w:t>Foto 11 - linkerdeel van het bord, onderste helft</w:t>
      </w:r>
    </w:p>
    <w:p>
      <w:pPr>
        <w:spacing w:before="0" w:after="120" w:line="300" w:lineRule="auto"/>
      </w:pPr>
      <w:r>
        <w:rPr>
          <w:b w:val="0"/>
          <w:i w:val="0"/>
          <w:color w:val="1B2430"/>
          <w:sz w:val="21"/>
        </w:rPr>
        <w:t>De openstaande vragen op het bord vallen uiteen in twee sporen: vragen over de fysieke planning en vragen over de personele inzet.</w:t>
      </w:r>
    </w:p>
    <w:p>
      <w:pPr>
        <w:spacing w:before="120" w:after="40"/>
        <w:jc w:val="center"/>
      </w:pPr>
      <w:r>
        <w:drawing>
          <wp:inline xmlns:a="http://schemas.openxmlformats.org/drawingml/2006/main" xmlns:pic="http://schemas.openxmlformats.org/drawingml/2006/picture">
            <wp:extent cx="5903999" cy="3795428"/>
            <wp:docPr id="5" name="Picture 5"/>
            <wp:cNvGraphicFramePr>
              <a:graphicFrameLocks noChangeAspect="1"/>
            </wp:cNvGraphicFramePr>
            <a:graphic>
              <a:graphicData uri="http://schemas.openxmlformats.org/drawingml/2006/picture">
                <pic:pic>
                  <pic:nvPicPr>
                    <pic:cNvPr id="0" name="fig09_vragen.png"/>
                    <pic:cNvPicPr/>
                  </pic:nvPicPr>
                  <pic:blipFill>
                    <a:blip r:embed="rId14"/>
                    <a:stretch>
                      <a:fillRect/>
                    </a:stretch>
                  </pic:blipFill>
                  <pic:spPr>
                    <a:xfrm>
                      <a:off x="0" y="0"/>
                      <a:ext cx="5903999" cy="3795428"/>
                    </a:xfrm>
                    <a:prstGeom prst="rect"/>
                  </pic:spPr>
                </pic:pic>
              </a:graphicData>
            </a:graphic>
          </wp:inline>
        </w:drawing>
      </w:r>
    </w:p>
    <w:p>
      <w:pPr>
        <w:spacing w:after="240"/>
        <w:jc w:val="center"/>
      </w:pPr>
      <w:r>
        <w:rPr>
          <w:i/>
          <w:color w:val="5A6472"/>
          <w:sz w:val="18"/>
        </w:rPr>
        <w:t>Figuur 5 - Openstaande vragen langs twee sporen</w:t>
      </w:r>
    </w:p>
    <w:p>
      <w:pPr>
        <w:pStyle w:val="Heading2"/>
        <w:spacing w:before="240" w:after="120"/>
      </w:pPr>
      <w:r>
        <w:rPr>
          <w:rFonts w:ascii="Calibri" w:hAnsi="Calibri"/>
          <w:color w:val="1F5FA8"/>
          <w:sz w:val="26"/>
        </w:rPr>
        <w:t>Fysieke planning</w:t>
      </w:r>
    </w:p>
    <w:p>
      <w:pPr>
        <w:pStyle w:val="ListNumber"/>
        <w:spacing w:after="60" w:line="288" w:lineRule="auto"/>
      </w:pPr>
      <w:r>
        <w:rPr>
          <w:color w:val="1B2430"/>
          <w:sz w:val="21"/>
        </w:rPr>
        <w:t>Waar komt de recoverypatiënt in avond, nacht en weekend?</w:t>
      </w:r>
    </w:p>
    <w:p>
      <w:pPr>
        <w:pStyle w:val="ListNumber"/>
        <w:spacing w:after="60" w:line="288" w:lineRule="auto"/>
      </w:pPr>
      <w:r>
        <w:rPr>
          <w:color w:val="1B2430"/>
          <w:sz w:val="21"/>
        </w:rPr>
        <w:t>Waar komt de cardioversie?</w:t>
      </w:r>
    </w:p>
    <w:p>
      <w:pPr>
        <w:pStyle w:val="ListNumber"/>
        <w:spacing w:after="60" w:line="288" w:lineRule="auto"/>
      </w:pPr>
      <w:r>
        <w:rPr>
          <w:color w:val="1B2430"/>
          <w:sz w:val="21"/>
        </w:rPr>
        <w:t>Hoort de EHH bij de SEH of bij de Hotfloor?</w:t>
      </w:r>
    </w:p>
    <w:p>
      <w:pPr>
        <w:pStyle w:val="ListNumber"/>
        <w:spacing w:after="60" w:line="288" w:lineRule="auto"/>
      </w:pPr>
      <w:r>
        <w:rPr>
          <w:color w:val="1B2430"/>
          <w:sz w:val="21"/>
        </w:rPr>
        <w:t>Komt de OSAS post-OK patiënt nog op de ICU?</w:t>
      </w:r>
    </w:p>
    <w:p>
      <w:pPr>
        <w:pStyle w:val="Heading2"/>
        <w:spacing w:before="240" w:after="120"/>
      </w:pPr>
      <w:r>
        <w:rPr>
          <w:rFonts w:ascii="Calibri" w:hAnsi="Calibri"/>
          <w:color w:val="6B3FA0"/>
          <w:sz w:val="26"/>
        </w:rPr>
        <w:t>Personele inzet en opleiden</w:t>
      </w:r>
    </w:p>
    <w:p>
      <w:pPr>
        <w:pStyle w:val="ListNumber"/>
        <w:spacing w:after="60" w:line="288" w:lineRule="auto"/>
      </w:pPr>
      <w:r>
        <w:rPr>
          <w:color w:val="1B2430"/>
          <w:sz w:val="21"/>
        </w:rPr>
        <w:t>Wat gebeurt er met de scopedienst van de CCU?</w:t>
      </w:r>
    </w:p>
    <w:p>
      <w:pPr>
        <w:pStyle w:val="ListNumber"/>
        <w:spacing w:after="60" w:line="288" w:lineRule="auto"/>
      </w:pPr>
      <w:r>
        <w:rPr>
          <w:color w:val="1B2430"/>
          <w:sz w:val="21"/>
        </w:rPr>
        <w:t>Welke norm geldt er voor de Hotfloor?</w:t>
      </w:r>
    </w:p>
    <w:p>
      <w:pPr>
        <w:pStyle w:val="ListNumber"/>
        <w:spacing w:after="60" w:line="288" w:lineRule="auto"/>
      </w:pPr>
      <w:r>
        <w:rPr>
          <w:color w:val="1B2430"/>
          <w:sz w:val="21"/>
        </w:rPr>
        <w:t>Inzet van de kinderverpleegkundige op de SEH?</w:t>
      </w:r>
    </w:p>
    <w:p>
      <w:pPr>
        <w:spacing w:before="0" w:after="120" w:line="300" w:lineRule="auto"/>
      </w:pPr>
    </w:p>
    <w:tbl>
      <w:tblPr>
        <w:tblW w:type="auto" w:w="0"/>
        <w:jc w:val="center"/>
        <w:tblBorders>
          <w:top w:val="single" w:sz="8" w:space="0" w:color="D2691E"/>
          <w:left w:val="single" w:sz="8" w:space="0" w:color="D2691E"/>
          <w:bottom w:val="single" w:sz="8" w:space="0" w:color="D2691E"/>
          <w:right w:val="single" w:sz="8" w:space="0" w:color="D2691E"/>
          <w:insideH w:val="single" w:sz="8" w:space="0" w:color="D2691E"/>
          <w:insideV w:val="single" w:sz="8" w:space="0" w:color="D2691E"/>
        </w:tblBorders>
        <w:tblLook w:firstColumn="1" w:firstRow="1" w:lastColumn="0" w:lastRow="0" w:noHBand="0" w:noVBand="1" w:val="04A0"/>
      </w:tblPr>
      <w:tblGrid>
        <w:gridCol w:w="9298"/>
      </w:tblGrid>
      <w:tr>
        <w:tc>
          <w:tcPr>
            <w:tcW w:type="dxa" w:w="9298"/>
            <w:shd w:val="clear" w:color="auto" w:fill="FBEEE3"/>
          </w:tcPr>
          <w:p>
            <w:pPr>
              <w:spacing w:after="80"/>
            </w:pPr>
            <w:r>
              <w:rPr>
                <w:b/>
                <w:color w:val="D2691E"/>
                <w:sz w:val="22"/>
              </w:rPr>
              <w:t>Actie</w:t>
            </w:r>
          </w:p>
          <w:p>
            <w:pPr>
              <w:spacing w:after="40" w:line="288" w:lineRule="auto"/>
            </w:pPr>
            <w:r>
              <w:rPr>
                <w:color w:val="1B2430"/>
                <w:sz w:val="20"/>
              </w:rPr>
              <w:t>Deze lijst aanvullen met de vragen van Lonneke en Maxim.</w:t>
            </w:r>
          </w:p>
        </w:tc>
      </w:tr>
    </w:tbl>
    <w:p>
      <w:pPr>
        <w:spacing w:after="80"/>
      </w:pPr>
    </w:p>
    <w:p>
      <w:r>
        <w:br w:type="page"/>
      </w:r>
    </w:p>
    <w:p>
      <w:pPr>
        <w:pStyle w:val="Heading1"/>
        <w:pBdr>
          <w:bottom w:val="single" w:sz="6" w:space="4" w:color="1F5FA8"/>
        </w:pBdr>
        <w:spacing w:before="360" w:after="120"/>
      </w:pPr>
      <w:r>
        <w:rPr>
          <w:rFonts w:ascii="Calibri" w:hAnsi="Calibri"/>
          <w:color w:val="1F5FA8"/>
          <w:sz w:val="34"/>
        </w:rPr>
        <w:t>6. Vertrekpunt, planning en scenario's</w:t>
      </w:r>
    </w:p>
    <w:p>
      <w:pPr>
        <w:spacing w:before="0" w:after="160"/>
      </w:pPr>
      <w:r>
        <w:rPr>
          <w:i/>
          <w:color w:val="5A6472"/>
          <w:sz w:val="18"/>
        </w:rPr>
        <w:t>Foto 13 - linkerdeel van het bord, bovenste helft</w:t>
      </w:r>
    </w:p>
    <w:p>
      <w:pPr>
        <w:spacing w:before="0" w:after="120" w:line="300" w:lineRule="auto"/>
      </w:pPr>
      <w:r>
        <w:rPr>
          <w:b w:val="0"/>
          <w:i w:val="0"/>
          <w:color w:val="1B2430"/>
          <w:sz w:val="21"/>
        </w:rPr>
        <w:t>Linksboven op het bord staat de planning: vier perioden, met per periode een andere vraag. Daaronder staan de vijf scenario's die uitgewerkt moeten worden.</w:t>
      </w:r>
    </w:p>
    <w:p>
      <w:pPr>
        <w:spacing w:before="120" w:after="40"/>
        <w:jc w:val="center"/>
      </w:pPr>
      <w:r>
        <w:drawing>
          <wp:inline xmlns:a="http://schemas.openxmlformats.org/drawingml/2006/main" xmlns:pic="http://schemas.openxmlformats.org/drawingml/2006/picture">
            <wp:extent cx="5903999" cy="4174971"/>
            <wp:docPr id="6" name="Picture 6"/>
            <wp:cNvGraphicFramePr>
              <a:graphicFrameLocks noChangeAspect="1"/>
            </wp:cNvGraphicFramePr>
            <a:graphic>
              <a:graphicData uri="http://schemas.openxmlformats.org/drawingml/2006/picture">
                <pic:pic>
                  <pic:nvPicPr>
                    <pic:cNvPr id="0" name="fig02_plan.png"/>
                    <pic:cNvPicPr/>
                  </pic:nvPicPr>
                  <pic:blipFill>
                    <a:blip r:embed="rId15"/>
                    <a:stretch>
                      <a:fillRect/>
                    </a:stretch>
                  </pic:blipFill>
                  <pic:spPr>
                    <a:xfrm>
                      <a:off x="0" y="0"/>
                      <a:ext cx="5903999" cy="4174971"/>
                    </a:xfrm>
                    <a:prstGeom prst="rect"/>
                  </pic:spPr>
                </pic:pic>
              </a:graphicData>
            </a:graphic>
          </wp:inline>
        </w:drawing>
      </w:r>
    </w:p>
    <w:p>
      <w:pPr>
        <w:spacing w:after="240"/>
        <w:jc w:val="center"/>
      </w:pPr>
      <w:r>
        <w:rPr>
          <w:i/>
          <w:color w:val="5A6472"/>
          <w:sz w:val="18"/>
        </w:rPr>
        <w:t>Figuur 6 - Vier perioden, de ontbrekende randvoorwaarde en de kernvraag</w:t>
      </w:r>
    </w:p>
    <w:p>
      <w:pPr>
        <w:pStyle w:val="Heading2"/>
        <w:spacing w:before="240" w:after="120"/>
      </w:pPr>
      <w:r>
        <w:rPr>
          <w:rFonts w:ascii="Calibri" w:hAnsi="Calibri"/>
          <w:color w:val="1F5FA8"/>
          <w:sz w:val="26"/>
        </w:rPr>
        <w:t>Wat staat er op het bord: plan</w:t>
      </w:r>
    </w:p>
    <w:p>
      <w:pPr>
        <w:pStyle w:val="ListBullet"/>
        <w:spacing w:after="60" w:line="288" w:lineRule="auto"/>
      </w:pPr>
      <w:r>
        <w:rPr>
          <w:color w:val="1B2430"/>
          <w:sz w:val="21"/>
        </w:rPr>
        <w:t>Plan: nu 2026 - oudbouw jan tot en met mei - verhuis begin juni - nieuwbouw eind juni.</w:t>
      </w:r>
    </w:p>
    <w:p>
      <w:pPr>
        <w:pStyle w:val="ListBullet"/>
        <w:spacing w:after="60" w:line="288" w:lineRule="auto"/>
      </w:pPr>
      <w:r>
        <w:rPr>
          <w:color w:val="1B2430"/>
          <w:sz w:val="21"/>
        </w:rPr>
        <w:t>Er is geen vastgestelde norm en geen vastgestelde roostersleutel.</w:t>
      </w:r>
    </w:p>
    <w:p>
      <w:pPr>
        <w:pStyle w:val="ListBullet"/>
        <w:spacing w:after="60" w:line="288" w:lineRule="auto"/>
      </w:pPr>
      <w:r>
        <w:rPr>
          <w:color w:val="1B2430"/>
          <w:sz w:val="21"/>
        </w:rPr>
        <w:t>Hoe gaan we samenwerken? Diensten uitruilen? Fysieke patiëntcategorieën al schuiven?</w:t>
      </w:r>
    </w:p>
    <w:p>
      <w:pPr>
        <w:pStyle w:val="ListBullet"/>
        <w:spacing w:after="60" w:line="288" w:lineRule="auto"/>
      </w:pPr>
      <w:r>
        <w:rPr>
          <w:color w:val="1B2430"/>
          <w:sz w:val="21"/>
        </w:rPr>
        <w:t>Elk scenario heeft effect op de benodigde fysieke capaciteit én op de personele inzet (norm plus deskundigheid).</w:t>
      </w:r>
    </w:p>
    <w:p>
      <w:pPr>
        <w:spacing w:before="120" w:after="40"/>
        <w:jc w:val="center"/>
      </w:pPr>
      <w:r>
        <w:drawing>
          <wp:inline xmlns:a="http://schemas.openxmlformats.org/drawingml/2006/main" xmlns:pic="http://schemas.openxmlformats.org/drawingml/2006/picture">
            <wp:extent cx="5903999" cy="3711085"/>
            <wp:docPr id="7" name="Picture 7"/>
            <wp:cNvGraphicFramePr>
              <a:graphicFrameLocks noChangeAspect="1"/>
            </wp:cNvGraphicFramePr>
            <a:graphic>
              <a:graphicData uri="http://schemas.openxmlformats.org/drawingml/2006/picture">
                <pic:pic>
                  <pic:nvPicPr>
                    <pic:cNvPr id="0" name="fig06_scenarios.png"/>
                    <pic:cNvPicPr/>
                  </pic:nvPicPr>
                  <pic:blipFill>
                    <a:blip r:embed="rId16"/>
                    <a:stretch>
                      <a:fillRect/>
                    </a:stretch>
                  </pic:blipFill>
                  <pic:spPr>
                    <a:xfrm>
                      <a:off x="0" y="0"/>
                      <a:ext cx="5903999" cy="3711085"/>
                    </a:xfrm>
                    <a:prstGeom prst="rect"/>
                  </pic:spPr>
                </pic:pic>
              </a:graphicData>
            </a:graphic>
          </wp:inline>
        </w:drawing>
      </w:r>
    </w:p>
    <w:p>
      <w:pPr>
        <w:spacing w:after="240"/>
        <w:jc w:val="center"/>
      </w:pPr>
      <w:r>
        <w:rPr>
          <w:i/>
          <w:color w:val="5A6472"/>
          <w:sz w:val="18"/>
        </w:rPr>
        <w:t>Figuur 7 - De vijf scenario's en het effect dat elk scenario heeft</w:t>
      </w:r>
    </w:p>
    <w:p>
      <w:pPr>
        <w:pStyle w:val="Heading2"/>
        <w:spacing w:before="240" w:after="120"/>
      </w:pPr>
      <w:r>
        <w:rPr>
          <w:rFonts w:ascii="Calibri" w:hAnsi="Calibri"/>
          <w:color w:val="1F5FA8"/>
          <w:sz w:val="26"/>
        </w:rPr>
        <w:t>Wat staat er op het bord: scenario's</w:t>
      </w:r>
    </w:p>
    <w:p>
      <w:pPr>
        <w:pStyle w:val="ListNumber"/>
        <w:spacing w:after="60" w:line="288" w:lineRule="auto"/>
      </w:pPr>
      <w:r>
        <w:rPr>
          <w:color w:val="1B2430"/>
          <w:sz w:val="21"/>
        </w:rPr>
        <w:t>EHH naar SEH? Overdag, of ook in de avond?</w:t>
      </w:r>
    </w:p>
    <w:p>
      <w:pPr>
        <w:pStyle w:val="ListNumber"/>
        <w:spacing w:after="60" w:line="288" w:lineRule="auto"/>
      </w:pPr>
      <w:r>
        <w:rPr>
          <w:color w:val="1B2430"/>
          <w:sz w:val="21"/>
        </w:rPr>
        <w:t>ICU en SCU samen op de ICU.</w:t>
      </w:r>
    </w:p>
    <w:p>
      <w:pPr>
        <w:pStyle w:val="ListNumber"/>
        <w:spacing w:after="60" w:line="288" w:lineRule="auto"/>
      </w:pPr>
      <w:r>
        <w:rPr>
          <w:color w:val="1B2430"/>
          <w:sz w:val="21"/>
        </w:rPr>
        <w:t>Recovery ICU naar CCU/SCU.</w:t>
      </w:r>
    </w:p>
    <w:p>
      <w:pPr>
        <w:pStyle w:val="ListNumber"/>
        <w:spacing w:after="60" w:line="288" w:lineRule="auto"/>
      </w:pPr>
      <w:r>
        <w:rPr>
          <w:color w:val="1B2430"/>
          <w:sz w:val="21"/>
        </w:rPr>
        <w:t>Cardioversies CCU verplaatsen.</w:t>
      </w:r>
    </w:p>
    <w:p>
      <w:pPr>
        <w:pStyle w:val="ListNumber"/>
        <w:spacing w:after="60" w:line="288" w:lineRule="auto"/>
      </w:pPr>
      <w:r>
        <w:rPr>
          <w:color w:val="1B2430"/>
          <w:sz w:val="21"/>
        </w:rPr>
        <w:t>Huidige situatie: ICU, CCU/SCU/EHH en SEH apart.</w:t>
      </w:r>
    </w:p>
    <w:p>
      <w:pPr>
        <w:spacing w:before="0" w:after="120" w:line="300" w:lineRule="auto"/>
      </w:pPr>
    </w:p>
    <w:tbl>
      <w:tblPr>
        <w:tblW w:type="auto" w:w="0"/>
        <w:jc w:val="center"/>
        <w:tblBorders>
          <w:top w:val="single" w:sz="8" w:space="0" w:color="6B3FA0"/>
          <w:left w:val="single" w:sz="8" w:space="0" w:color="6B3FA0"/>
          <w:bottom w:val="single" w:sz="8" w:space="0" w:color="6B3FA0"/>
          <w:right w:val="single" w:sz="8" w:space="0" w:color="6B3FA0"/>
          <w:insideH w:val="single" w:sz="8" w:space="0" w:color="6B3FA0"/>
          <w:insideV w:val="single" w:sz="8" w:space="0" w:color="6B3FA0"/>
        </w:tblBorders>
        <w:tblLook w:firstColumn="1" w:firstRow="1" w:lastColumn="0" w:lastRow="0" w:noHBand="0" w:noVBand="1" w:val="04A0"/>
      </w:tblPr>
      <w:tblGrid>
        <w:gridCol w:w="9298"/>
      </w:tblGrid>
      <w:tr>
        <w:tc>
          <w:tcPr>
            <w:tcW w:type="dxa" w:w="9298"/>
            <w:shd w:val="clear" w:color="auto" w:fill="F0EAF8"/>
          </w:tcPr>
          <w:p>
            <w:pPr>
              <w:spacing w:after="80"/>
            </w:pPr>
            <w:r>
              <w:rPr>
                <w:b/>
                <w:color w:val="6B3FA0"/>
                <w:sz w:val="22"/>
              </w:rPr>
              <w:t>Let op</w:t>
            </w:r>
          </w:p>
          <w:p>
            <w:pPr>
              <w:spacing w:after="40" w:line="288" w:lineRule="auto"/>
            </w:pPr>
            <w:r>
              <w:rPr>
                <w:color w:val="1B2430"/>
                <w:sz w:val="20"/>
              </w:rPr>
              <w:t>De keuze tussen deze scenario's wordt volgens het bord pas gemaakt op basis van data uit BI, niet op basis van aannames.</w:t>
            </w:r>
          </w:p>
        </w:tc>
      </w:tr>
    </w:tbl>
    <w:p>
      <w:pPr>
        <w:spacing w:after="80"/>
      </w:pPr>
    </w:p>
    <w:p>
      <w:r>
        <w:br w:type="page"/>
      </w:r>
    </w:p>
    <w:p>
      <w:pPr>
        <w:pStyle w:val="Heading1"/>
        <w:pBdr>
          <w:bottom w:val="single" w:sz="6" w:space="4" w:color="1F5FA8"/>
        </w:pBdr>
        <w:spacing w:before="360" w:after="120"/>
      </w:pPr>
      <w:r>
        <w:rPr>
          <w:rFonts w:ascii="Calibri" w:hAnsi="Calibri"/>
          <w:color w:val="1F5FA8"/>
          <w:sz w:val="34"/>
        </w:rPr>
        <w:t>7. Oud versus nieuw</w:t>
      </w:r>
    </w:p>
    <w:p>
      <w:pPr>
        <w:spacing w:before="0" w:after="160"/>
      </w:pPr>
      <w:r>
        <w:rPr>
          <w:i/>
          <w:color w:val="5A6472"/>
          <w:sz w:val="18"/>
        </w:rPr>
        <w:t>Foto 12 - middendeel van het bord, bovenste helft</w:t>
      </w:r>
    </w:p>
    <w:p>
      <w:pPr>
        <w:spacing w:before="0" w:after="120" w:line="300" w:lineRule="auto"/>
      </w:pPr>
      <w:r>
        <w:rPr>
          <w:b w:val="0"/>
          <w:i w:val="0"/>
          <w:color w:val="1B2430"/>
          <w:sz w:val="21"/>
        </w:rPr>
        <w:t>De kern van de verandering: waar de acute en intensieve zorg nu over vier plaatsen in het gebouw verdeeld is, komt die straks in twee clusters te liggen.</w:t>
      </w:r>
    </w:p>
    <w:p>
      <w:pPr>
        <w:spacing w:before="120" w:after="40"/>
        <w:jc w:val="center"/>
      </w:pPr>
      <w:r>
        <w:drawing>
          <wp:inline xmlns:a="http://schemas.openxmlformats.org/drawingml/2006/main" xmlns:pic="http://schemas.openxmlformats.org/drawingml/2006/picture">
            <wp:extent cx="5903999" cy="4006285"/>
            <wp:docPr id="8" name="Picture 8"/>
            <wp:cNvGraphicFramePr>
              <a:graphicFrameLocks noChangeAspect="1"/>
            </wp:cNvGraphicFramePr>
            <a:graphic>
              <a:graphicData uri="http://schemas.openxmlformats.org/drawingml/2006/picture">
                <pic:pic>
                  <pic:nvPicPr>
                    <pic:cNvPr id="0" name="fig04_oud_nieuw.png"/>
                    <pic:cNvPicPr/>
                  </pic:nvPicPr>
                  <pic:blipFill>
                    <a:blip r:embed="rId17"/>
                    <a:stretch>
                      <a:fillRect/>
                    </a:stretch>
                  </pic:blipFill>
                  <pic:spPr>
                    <a:xfrm>
                      <a:off x="0" y="0"/>
                      <a:ext cx="5903999" cy="4006285"/>
                    </a:xfrm>
                    <a:prstGeom prst="rect"/>
                  </pic:spPr>
                </pic:pic>
              </a:graphicData>
            </a:graphic>
          </wp:inline>
        </w:drawing>
      </w:r>
    </w:p>
    <w:p>
      <w:pPr>
        <w:spacing w:after="240"/>
        <w:jc w:val="center"/>
      </w:pPr>
      <w:r>
        <w:rPr>
          <w:i/>
          <w:color w:val="5A6472"/>
          <w:sz w:val="18"/>
        </w:rPr>
        <w:t>Figuur 8 - Van vier verspreide afdelingen naar acute poort en Hotfloor</w:t>
      </w:r>
    </w:p>
    <w:p>
      <w:pPr>
        <w:pStyle w:val="Heading2"/>
        <w:spacing w:before="240" w:after="120"/>
      </w:pPr>
      <w:r>
        <w:rPr>
          <w:rFonts w:ascii="Calibri" w:hAnsi="Calibri"/>
          <w:color w:val="1F5FA8"/>
          <w:sz w:val="26"/>
        </w:rPr>
        <w:t>Wat staat er op het bord</w:t>
      </w:r>
    </w:p>
    <w:p>
      <w:pPr>
        <w:pStyle w:val="ListBullet"/>
        <w:spacing w:after="60" w:line="288" w:lineRule="auto"/>
      </w:pPr>
      <w:r>
        <w:rPr>
          <w:color w:val="1B2430"/>
          <w:sz w:val="21"/>
        </w:rPr>
        <w:t>Oud: kind spoed bij de kinderafdeling/poli, SEH op de begane grond, ICU op de 2e verdieping, CCU/SCU/EHH op de 1e verdieping.</w:t>
      </w:r>
    </w:p>
    <w:p>
      <w:pPr>
        <w:pStyle w:val="ListBullet"/>
        <w:spacing w:after="60" w:line="288" w:lineRule="auto"/>
      </w:pPr>
      <w:r>
        <w:rPr>
          <w:color w:val="1B2430"/>
          <w:sz w:val="21"/>
        </w:rPr>
        <w:t>Nieuw 1: SEH met acute poort, met daarin kind, EHH en SEH.</w:t>
      </w:r>
    </w:p>
    <w:p>
      <w:pPr>
        <w:pStyle w:val="ListBullet"/>
        <w:spacing w:after="60" w:line="288" w:lineRule="auto"/>
      </w:pPr>
      <w:r>
        <w:rPr>
          <w:color w:val="1B2430"/>
          <w:sz w:val="21"/>
        </w:rPr>
        <w:t>Nieuw 2: Hotfloor, met daarin ICU en CCU/SCU.</w:t>
      </w:r>
    </w:p>
    <w:p>
      <w:pPr>
        <w:pStyle w:val="ListBullet"/>
        <w:spacing w:after="60" w:line="288" w:lineRule="auto"/>
      </w:pPr>
      <w:r>
        <w:rPr>
          <w:color w:val="1B2430"/>
          <w:sz w:val="21"/>
        </w:rPr>
        <w:t>Fysieke plekken: hoeveel plekken zijn er nodig? En zijn dit er 16?</w:t>
      </w:r>
    </w:p>
    <w:p>
      <w:r>
        <w:br w:type="page"/>
      </w:r>
    </w:p>
    <w:tbl>
      <w:tblPr>
        <w:tblW w:type="auto" w:w="0"/>
        <w:jc w:val="center"/>
        <w:tblBorders>
          <w:top w:val="single" w:sz="4" w:space="0" w:color="6B3FA0"/>
          <w:left w:val="single" w:sz="4" w:space="0" w:color="6B3FA0"/>
          <w:bottom w:val="single" w:sz="4" w:space="0" w:color="6B3FA0"/>
          <w:right w:val="single" w:sz="4" w:space="0" w:color="6B3FA0"/>
          <w:insideH w:val="single" w:sz="4" w:space="0" w:color="6B3FA0"/>
          <w:insideV w:val="single" w:sz="4" w:space="0" w:color="6B3FA0"/>
        </w:tblBorders>
        <w:tblLook w:firstColumn="1" w:firstRow="1" w:lastColumn="0" w:lastRow="0" w:noHBand="0" w:noVBand="1" w:val="04A0"/>
      </w:tblPr>
      <w:tblGrid>
        <w:gridCol w:w="9298"/>
      </w:tblGrid>
      <w:tr>
        <w:tc>
          <w:tcPr>
            <w:tcW w:type="dxa" w:w="9298"/>
            <w:shd w:val="clear" w:color="auto" w:fill="6B3FA0"/>
          </w:tcPr>
          <w:p>
            <w:pPr>
              <w:spacing w:before="120" w:after="40"/>
              <w:jc w:val="center"/>
            </w:pPr>
            <w:r>
              <w:rPr>
                <w:b/>
                <w:color w:val="FFFFFF"/>
                <w:sz w:val="22"/>
              </w:rPr>
              <w:t>DEEL B</w:t>
            </w:r>
          </w:p>
          <w:p>
            <w:pPr>
              <w:spacing w:after="120"/>
              <w:jc w:val="center"/>
            </w:pPr>
            <w:r>
              <w:rPr>
                <w:b/>
                <w:color w:val="FFFFFF"/>
                <w:sz w:val="32"/>
              </w:rPr>
              <w:t>Het capaciteitsbord</w:t>
            </w:r>
          </w:p>
        </w:tc>
      </w:tr>
    </w:tbl>
    <w:p>
      <w:pPr>
        <w:spacing w:after="40"/>
      </w:pPr>
    </w:p>
    <w:p>
      <w:pPr>
        <w:pStyle w:val="Heading1"/>
        <w:pBdr>
          <w:bottom w:val="single" w:sz="6" w:space="4" w:color="6B3FA0"/>
        </w:pBdr>
        <w:spacing w:before="360" w:after="120"/>
      </w:pPr>
      <w:r>
        <w:rPr>
          <w:rFonts w:ascii="Calibri" w:hAnsi="Calibri"/>
          <w:color w:val="6B3FA0"/>
          <w:sz w:val="34"/>
        </w:rPr>
        <w:t>8. Tijdlijn, berekeningen en patiëntstromen</w:t>
      </w:r>
    </w:p>
    <w:p>
      <w:pPr>
        <w:spacing w:before="0" w:after="160"/>
      </w:pPr>
      <w:r>
        <w:rPr>
          <w:i/>
          <w:color w:val="5A6472"/>
          <w:sz w:val="18"/>
        </w:rPr>
        <w:t>Foto 15 - onderste helft van het capaciteitsbord</w:t>
      </w:r>
    </w:p>
    <w:p>
      <w:pPr>
        <w:spacing w:before="0" w:after="120" w:line="300" w:lineRule="auto"/>
      </w:pPr>
      <w:r>
        <w:rPr>
          <w:b w:val="0"/>
          <w:i w:val="0"/>
          <w:color w:val="1B2430"/>
          <w:sz w:val="21"/>
        </w:rPr>
        <w:t>Op de tijdlijn staat wat er tussen september 2026 en de verhuizing gereed moet zijn. De maanden oktober tot en met mei zijn op het bord omkaderd: dat is de periode waarin de voorbereiding en het werken in de oudbouw plaatsvinden.</w:t>
      </w:r>
    </w:p>
    <w:p>
      <w:pPr>
        <w:spacing w:before="120" w:after="40"/>
        <w:jc w:val="center"/>
      </w:pPr>
      <w:r>
        <w:drawing>
          <wp:inline xmlns:a="http://schemas.openxmlformats.org/drawingml/2006/main" xmlns:pic="http://schemas.openxmlformats.org/drawingml/2006/picture">
            <wp:extent cx="5903999" cy="3795428"/>
            <wp:docPr id="9" name="Picture 9"/>
            <wp:cNvGraphicFramePr>
              <a:graphicFrameLocks noChangeAspect="1"/>
            </wp:cNvGraphicFramePr>
            <a:graphic>
              <a:graphicData uri="http://schemas.openxmlformats.org/drawingml/2006/picture">
                <pic:pic>
                  <pic:nvPicPr>
                    <pic:cNvPr id="0" name="fig03_tijdlijn.png"/>
                    <pic:cNvPicPr/>
                  </pic:nvPicPr>
                  <pic:blipFill>
                    <a:blip r:embed="rId18"/>
                    <a:stretch>
                      <a:fillRect/>
                    </a:stretch>
                  </pic:blipFill>
                  <pic:spPr>
                    <a:xfrm>
                      <a:off x="0" y="0"/>
                      <a:ext cx="5903999" cy="3795428"/>
                    </a:xfrm>
                    <a:prstGeom prst="rect"/>
                  </pic:spPr>
                </pic:pic>
              </a:graphicData>
            </a:graphic>
          </wp:inline>
        </w:drawing>
      </w:r>
    </w:p>
    <w:p>
      <w:pPr>
        <w:spacing w:after="240"/>
        <w:jc w:val="center"/>
      </w:pPr>
      <w:r>
        <w:rPr>
          <w:i/>
          <w:color w:val="5A6472"/>
          <w:sz w:val="18"/>
        </w:rPr>
        <w:t>Figuur 9 - Tijdlijn van september tot de verhuizing en de drie berekeningen</w:t>
      </w:r>
    </w:p>
    <w:p>
      <w:pPr>
        <w:pStyle w:val="Heading2"/>
        <w:spacing w:before="240" w:after="120"/>
      </w:pPr>
      <w:r>
        <w:rPr>
          <w:rFonts w:ascii="Calibri" w:hAnsi="Calibri"/>
          <w:color w:val="6B3FA0"/>
          <w:sz w:val="26"/>
        </w:rPr>
        <w:t>Wat staat er op het bord: tijdlijn</w:t>
      </w:r>
    </w:p>
    <w:p>
      <w:pPr>
        <w:pStyle w:val="ListBullet"/>
        <w:spacing w:after="60" w:line="288" w:lineRule="auto"/>
      </w:pPr>
      <w:r>
        <w:rPr>
          <w:color w:val="1B2430"/>
          <w:sz w:val="21"/>
        </w:rPr>
        <w:t>September 2026: start van de berekeningen.</w:t>
      </w:r>
    </w:p>
    <w:p>
      <w:pPr>
        <w:pStyle w:val="ListBullet"/>
        <w:spacing w:after="60" w:line="288" w:lineRule="auto"/>
      </w:pPr>
      <w:r>
        <w:rPr>
          <w:color w:val="1B2430"/>
          <w:sz w:val="21"/>
        </w:rPr>
        <w:t>Aantal bedden op basis van patiëntaanwezigheid gereed.</w:t>
      </w:r>
    </w:p>
    <w:p>
      <w:pPr>
        <w:pStyle w:val="ListBullet"/>
        <w:spacing w:after="60" w:line="288" w:lineRule="auto"/>
      </w:pPr>
      <w:r>
        <w:rPr>
          <w:color w:val="1B2430"/>
          <w:sz w:val="21"/>
        </w:rPr>
        <w:t>Norm verpleegkundigen patiëntenzorg gereed, uitgesplitst naar D, L en N.</w:t>
      </w:r>
    </w:p>
    <w:p>
      <w:pPr>
        <w:pStyle w:val="ListBullet"/>
        <w:spacing w:after="60" w:line="288" w:lineRule="auto"/>
      </w:pPr>
      <w:r>
        <w:rPr>
          <w:color w:val="1B2430"/>
          <w:sz w:val="21"/>
        </w:rPr>
        <w:t>Indirecte uren per afdeling gereed.</w:t>
      </w:r>
    </w:p>
    <w:p>
      <w:pPr>
        <w:pStyle w:val="ListBullet"/>
        <w:spacing w:after="60" w:line="288" w:lineRule="auto"/>
      </w:pPr>
      <w:r>
        <w:rPr>
          <w:color w:val="1B2430"/>
          <w:sz w:val="21"/>
        </w:rPr>
        <w:t>Juni: verhuizing.</w:t>
      </w:r>
    </w:p>
    <w:p>
      <w:pPr>
        <w:spacing w:before="120" w:after="40"/>
        <w:jc w:val="center"/>
      </w:pPr>
      <w:r>
        <w:drawing>
          <wp:inline xmlns:a="http://schemas.openxmlformats.org/drawingml/2006/main" xmlns:pic="http://schemas.openxmlformats.org/drawingml/2006/picture">
            <wp:extent cx="5903999" cy="3415885"/>
            <wp:docPr id="10" name="Picture 10"/>
            <wp:cNvGraphicFramePr>
              <a:graphicFrameLocks noChangeAspect="1"/>
            </wp:cNvGraphicFramePr>
            <a:graphic>
              <a:graphicData uri="http://schemas.openxmlformats.org/drawingml/2006/picture">
                <pic:pic>
                  <pic:nvPicPr>
                    <pic:cNvPr id="0" name="fig08_stromen.png"/>
                    <pic:cNvPicPr/>
                  </pic:nvPicPr>
                  <pic:blipFill>
                    <a:blip r:embed="rId19"/>
                    <a:stretch>
                      <a:fillRect/>
                    </a:stretch>
                  </pic:blipFill>
                  <pic:spPr>
                    <a:xfrm>
                      <a:off x="0" y="0"/>
                      <a:ext cx="5903999" cy="3415885"/>
                    </a:xfrm>
                    <a:prstGeom prst="rect"/>
                  </pic:spPr>
                </pic:pic>
              </a:graphicData>
            </a:graphic>
          </wp:inline>
        </w:drawing>
      </w:r>
    </w:p>
    <w:p>
      <w:pPr>
        <w:spacing w:after="240"/>
        <w:jc w:val="center"/>
      </w:pPr>
      <w:r>
        <w:rPr>
          <w:i/>
          <w:color w:val="5A6472"/>
          <w:sz w:val="18"/>
        </w:rPr>
        <w:t>Figuur 10 - Patiëntstromen die in de berekening meegenomen worden</w:t>
      </w:r>
    </w:p>
    <w:p>
      <w:pPr>
        <w:pStyle w:val="Heading2"/>
        <w:spacing w:before="240" w:after="120"/>
      </w:pPr>
      <w:r>
        <w:rPr>
          <w:rFonts w:ascii="Calibri" w:hAnsi="Calibri"/>
          <w:color w:val="6B3FA0"/>
          <w:sz w:val="26"/>
        </w:rPr>
        <w:t>Wat staat er op het bord: patiëntstromen</w:t>
      </w:r>
    </w:p>
    <w:p>
      <w:pPr>
        <w:pStyle w:val="ListBullet"/>
        <w:spacing w:after="60" w:line="288" w:lineRule="auto"/>
      </w:pPr>
      <w:r>
        <w:rPr>
          <w:color w:val="1B2430"/>
          <w:sz w:val="21"/>
        </w:rPr>
        <w:t>ICU: spoed, electief, recovery.</w:t>
      </w:r>
    </w:p>
    <w:p>
      <w:pPr>
        <w:pStyle w:val="ListBullet"/>
        <w:spacing w:after="60" w:line="288" w:lineRule="auto"/>
      </w:pPr>
      <w:r>
        <w:rPr>
          <w:color w:val="1B2430"/>
          <w:sz w:val="21"/>
        </w:rPr>
        <w:t>CCU: spoed, cardioversie.</w:t>
      </w:r>
    </w:p>
    <w:p>
      <w:pPr>
        <w:pStyle w:val="ListBullet"/>
        <w:spacing w:after="60" w:line="288" w:lineRule="auto"/>
      </w:pPr>
      <w:r>
        <w:rPr>
          <w:color w:val="1B2430"/>
          <w:sz w:val="21"/>
        </w:rPr>
        <w:t>SCU: spoed.</w:t>
      </w:r>
    </w:p>
    <w:p>
      <w:pPr>
        <w:pStyle w:val="ListBullet"/>
        <w:spacing w:after="60" w:line="288" w:lineRule="auto"/>
      </w:pPr>
      <w:r>
        <w:rPr>
          <w:color w:val="1B2430"/>
          <w:sz w:val="21"/>
        </w:rPr>
        <w:t>EHH: spoed.</w:t>
      </w:r>
    </w:p>
    <w:p>
      <w:pPr>
        <w:pStyle w:val="ListBullet"/>
        <w:spacing w:after="60" w:line="288" w:lineRule="auto"/>
      </w:pPr>
      <w:r>
        <w:rPr>
          <w:color w:val="1B2430"/>
          <w:sz w:val="21"/>
        </w:rPr>
        <w:t>SEH: scenario's van Maxim en Sigrid.</w:t>
      </w:r>
    </w:p>
    <w:p>
      <w:r>
        <w:br w:type="page"/>
      </w:r>
    </w:p>
    <w:p>
      <w:pPr>
        <w:pStyle w:val="Heading1"/>
        <w:pBdr>
          <w:bottom w:val="single" w:sz="6" w:space="4" w:color="0E9A87"/>
        </w:pBdr>
        <w:spacing w:before="360" w:after="120"/>
      </w:pPr>
      <w:r>
        <w:rPr>
          <w:rFonts w:ascii="Calibri" w:hAnsi="Calibri"/>
          <w:color w:val="0E9A87"/>
          <w:sz w:val="34"/>
        </w:rPr>
        <w:t>9. Plattegrond nieuwbouw en fysieke plekken</w:t>
      </w:r>
    </w:p>
    <w:p>
      <w:pPr>
        <w:spacing w:before="0" w:after="160"/>
      </w:pPr>
      <w:r>
        <w:rPr>
          <w:i/>
          <w:color w:val="5A6472"/>
          <w:sz w:val="18"/>
        </w:rPr>
        <w:t>Foto 14 - rechterdeel van het capaciteitsbord</w:t>
      </w:r>
    </w:p>
    <w:p>
      <w:pPr>
        <w:spacing w:before="0" w:after="120" w:line="300" w:lineRule="auto"/>
      </w:pPr>
      <w:r>
        <w:rPr>
          <w:b w:val="0"/>
          <w:i w:val="0"/>
          <w:color w:val="1B2430"/>
          <w:sz w:val="21"/>
        </w:rPr>
        <w:t>De plattegrond van de nieuwbouw kent drie ruimtes. Alleen voor de Hotfloor staat het aantal plekken vast; voor de SEH en de EHH staat er nog een vraagteken.</w:t>
      </w:r>
    </w:p>
    <w:p>
      <w:pPr>
        <w:spacing w:before="120" w:after="40"/>
        <w:jc w:val="center"/>
      </w:pPr>
      <w:r>
        <w:drawing>
          <wp:inline xmlns:a="http://schemas.openxmlformats.org/drawingml/2006/main" xmlns:pic="http://schemas.openxmlformats.org/drawingml/2006/picture">
            <wp:extent cx="5903999" cy="3626742"/>
            <wp:docPr id="11" name="Picture 11"/>
            <wp:cNvGraphicFramePr>
              <a:graphicFrameLocks noChangeAspect="1"/>
            </wp:cNvGraphicFramePr>
            <a:graphic>
              <a:graphicData uri="http://schemas.openxmlformats.org/drawingml/2006/picture">
                <pic:pic>
                  <pic:nvPicPr>
                    <pic:cNvPr id="0" name="fig05_plattegrond.png"/>
                    <pic:cNvPicPr/>
                  </pic:nvPicPr>
                  <pic:blipFill>
                    <a:blip r:embed="rId20"/>
                    <a:stretch>
                      <a:fillRect/>
                    </a:stretch>
                  </pic:blipFill>
                  <pic:spPr>
                    <a:xfrm>
                      <a:off x="0" y="0"/>
                      <a:ext cx="5903999" cy="3626742"/>
                    </a:xfrm>
                    <a:prstGeom prst="rect"/>
                  </pic:spPr>
                </pic:pic>
              </a:graphicData>
            </a:graphic>
          </wp:inline>
        </w:drawing>
      </w:r>
    </w:p>
    <w:p>
      <w:pPr>
        <w:spacing w:after="240"/>
        <w:jc w:val="center"/>
      </w:pPr>
      <w:r>
        <w:rPr>
          <w:i/>
          <w:color w:val="5A6472"/>
          <w:sz w:val="18"/>
        </w:rPr>
        <w:t>Figuur 11 - Plattegrond, aantallen en wat er per plek uitgeschreven moet worden</w:t>
      </w:r>
    </w:p>
    <w:p>
      <w:pPr>
        <w:pStyle w:val="Heading2"/>
        <w:spacing w:before="240" w:after="120"/>
      </w:pPr>
      <w:r>
        <w:rPr>
          <w:rFonts w:ascii="Calibri" w:hAnsi="Calibri"/>
          <w:color w:val="0E9A87"/>
          <w:sz w:val="26"/>
        </w:rPr>
        <w:t>Wat staat er op het bord</w:t>
      </w:r>
    </w:p>
    <w:p>
      <w:pPr>
        <w:pStyle w:val="ListBullet"/>
        <w:spacing w:after="60" w:line="288" w:lineRule="auto"/>
      </w:pPr>
      <w:r>
        <w:rPr>
          <w:color w:val="1B2430"/>
          <w:sz w:val="21"/>
        </w:rPr>
        <w:t>Scenario nieuwbouw fysiek: Hotfloor = 16 bedden, SEH = ? plekken, EHH = ? plekken.</w:t>
      </w:r>
    </w:p>
    <w:p>
      <w:pPr>
        <w:pStyle w:val="ListBullet"/>
        <w:spacing w:after="60" w:line="288" w:lineRule="auto"/>
      </w:pPr>
      <w:r>
        <w:rPr>
          <w:color w:val="1B2430"/>
          <w:sz w:val="21"/>
        </w:rPr>
        <w:t>Fysieke plekken uitschrijven aan de hand van kamernummer en type, eventueel met middelen en materialen.</w:t>
      </w:r>
    </w:p>
    <w:p>
      <w:pPr>
        <w:pStyle w:val="ListBullet"/>
        <w:spacing w:after="60" w:line="288" w:lineRule="auto"/>
      </w:pPr>
      <w:r>
        <w:rPr>
          <w:color w:val="1B2430"/>
          <w:sz w:val="21"/>
        </w:rPr>
        <w:t>Onderscheid tussen fysieke plekken, specifieke plekken en middelen/materialen/apparatuur.</w:t>
      </w:r>
    </w:p>
    <w:p>
      <w:pPr>
        <w:pStyle w:val="ListBullet"/>
        <w:spacing w:after="60" w:line="288" w:lineRule="auto"/>
      </w:pPr>
      <w:r>
        <w:rPr>
          <w:color w:val="1B2430"/>
          <w:sz w:val="21"/>
        </w:rPr>
        <w:t>Bijvoorbeeld: kan er overal beademd worden?</w:t>
      </w:r>
    </w:p>
    <w:p>
      <w:pPr>
        <w:pStyle w:val="ListBullet"/>
        <w:spacing w:after="60" w:line="288" w:lineRule="auto"/>
      </w:pPr>
      <w:r>
        <w:rPr>
          <w:color w:val="1B2430"/>
          <w:sz w:val="21"/>
        </w:rPr>
        <w:t>Kan elke zorgvraag in elke kamer?</w:t>
      </w:r>
    </w:p>
    <w:p>
      <w:pPr>
        <w:pStyle w:val="ListBullet"/>
        <w:spacing w:after="60" w:line="288" w:lineRule="auto"/>
      </w:pPr>
      <w:r>
        <w:rPr>
          <w:color w:val="1B2430"/>
          <w:sz w:val="21"/>
        </w:rPr>
        <w:t>Is er een basisverdeling fysiek voor ICU, CCU en SCU?</w:t>
      </w:r>
    </w:p>
    <w:p>
      <w:r>
        <w:br w:type="page"/>
      </w:r>
    </w:p>
    <w:tbl>
      <w:tblPr>
        <w:tblW w:type="auto" w:w="0"/>
        <w:jc w:val="center"/>
        <w:tblBorders>
          <w:top w:val="single" w:sz="4" w:space="0" w:color="0E9A87"/>
          <w:left w:val="single" w:sz="4" w:space="0" w:color="0E9A87"/>
          <w:bottom w:val="single" w:sz="4" w:space="0" w:color="0E9A87"/>
          <w:right w:val="single" w:sz="4" w:space="0" w:color="0E9A87"/>
          <w:insideH w:val="single" w:sz="4" w:space="0" w:color="0E9A87"/>
          <w:insideV w:val="single" w:sz="4" w:space="0" w:color="0E9A87"/>
        </w:tblBorders>
        <w:tblLook w:firstColumn="1" w:firstRow="1" w:lastColumn="0" w:lastRow="0" w:noHBand="0" w:noVBand="1" w:val="04A0"/>
      </w:tblPr>
      <w:tblGrid>
        <w:gridCol w:w="9298"/>
      </w:tblGrid>
      <w:tr>
        <w:tc>
          <w:tcPr>
            <w:tcW w:type="dxa" w:w="9298"/>
            <w:shd w:val="clear" w:color="auto" w:fill="0E9A87"/>
          </w:tcPr>
          <w:p>
            <w:pPr>
              <w:spacing w:before="120" w:after="40"/>
              <w:jc w:val="center"/>
            </w:pPr>
            <w:r>
              <w:rPr>
                <w:b/>
                <w:color w:val="FFFFFF"/>
                <w:sz w:val="22"/>
              </w:rPr>
              <w:t>DEEL C</w:t>
            </w:r>
          </w:p>
          <w:p>
            <w:pPr>
              <w:spacing w:after="120"/>
              <w:jc w:val="center"/>
            </w:pPr>
            <w:r>
              <w:rPr>
                <w:b/>
                <w:color w:val="FFFFFF"/>
                <w:sz w:val="32"/>
              </w:rPr>
              <w:t>Totaaloverzicht</w:t>
            </w:r>
          </w:p>
        </w:tc>
      </w:tr>
    </w:tbl>
    <w:p>
      <w:pPr>
        <w:spacing w:after="40"/>
      </w:pPr>
    </w:p>
    <w:p>
      <w:pPr>
        <w:pStyle w:val="Heading1"/>
        <w:pBdr>
          <w:bottom w:val="single" w:sz="6" w:space="4" w:color="1F5FA8"/>
        </w:pBdr>
        <w:spacing w:before="360" w:after="120"/>
      </w:pPr>
      <w:r>
        <w:rPr>
          <w:rFonts w:ascii="Calibri" w:hAnsi="Calibri"/>
          <w:color w:val="1F5FA8"/>
          <w:sz w:val="34"/>
        </w:rPr>
        <w:t>10. Totaaloverzicht en stand van zaken per afdeling</w:t>
      </w:r>
    </w:p>
    <w:p>
      <w:pPr>
        <w:spacing w:before="0" w:after="160"/>
      </w:pPr>
      <w:r>
        <w:rPr>
          <w:i/>
          <w:color w:val="5A6472"/>
          <w:sz w:val="18"/>
        </w:rPr>
        <w:t>Foto 16 - het capaciteitsbord in een opname</w:t>
      </w:r>
    </w:p>
    <w:p>
      <w:pPr>
        <w:spacing w:before="0" w:after="120" w:line="300" w:lineRule="auto"/>
      </w:pPr>
      <w:r>
        <w:rPr>
          <w:b w:val="0"/>
          <w:i w:val="0"/>
          <w:color w:val="1B2430"/>
          <w:sz w:val="21"/>
        </w:rPr>
        <w:t>Het capaciteitsbord in zijn geheel. Bovenaan staat de tabel met de stand van zaken per afdeling; die laat zien dat de basis nog grotendeels ontbreekt. Op één afdeling na is er geen jaarplan ingevoerd, en er is voor geen enkele afdeling een vastgestelde norm verpleegkundigen.</w:t>
      </w:r>
    </w:p>
    <w:p>
      <w:pPr>
        <w:spacing w:before="120" w:after="40"/>
        <w:jc w:val="center"/>
      </w:pPr>
      <w:r>
        <w:drawing>
          <wp:inline xmlns:a="http://schemas.openxmlformats.org/drawingml/2006/main" xmlns:pic="http://schemas.openxmlformats.org/drawingml/2006/picture">
            <wp:extent cx="5903999" cy="4132799"/>
            <wp:docPr id="12" name="Picture 12"/>
            <wp:cNvGraphicFramePr>
              <a:graphicFrameLocks noChangeAspect="1"/>
            </wp:cNvGraphicFramePr>
            <a:graphic>
              <a:graphicData uri="http://schemas.openxmlformats.org/drawingml/2006/picture">
                <pic:pic>
                  <pic:nvPicPr>
                    <pic:cNvPr id="0" name="fig_capaciteitsbord.png"/>
                    <pic:cNvPicPr/>
                  </pic:nvPicPr>
                  <pic:blipFill>
                    <a:blip r:embed="rId21"/>
                    <a:stretch>
                      <a:fillRect/>
                    </a:stretch>
                  </pic:blipFill>
                  <pic:spPr>
                    <a:xfrm>
                      <a:off x="0" y="0"/>
                      <a:ext cx="5903999" cy="4132799"/>
                    </a:xfrm>
                    <a:prstGeom prst="rect"/>
                  </pic:spPr>
                </pic:pic>
              </a:graphicData>
            </a:graphic>
          </wp:inline>
        </w:drawing>
      </w:r>
    </w:p>
    <w:p>
      <w:pPr>
        <w:spacing w:after="240"/>
        <w:jc w:val="center"/>
      </w:pPr>
      <w:r>
        <w:rPr>
          <w:i/>
          <w:color w:val="5A6472"/>
          <w:sz w:val="18"/>
        </w:rPr>
        <w:t>Figuur 12 - Schematische kaart van het capaciteitsbord</w:t>
      </w:r>
    </w:p>
    <w:p>
      <w:pPr>
        <w:pStyle w:val="Heading2"/>
        <w:spacing w:before="240" w:after="120"/>
      </w:pPr>
      <w:r>
        <w:rPr>
          <w:rFonts w:ascii="Calibri" w:hAnsi="Calibri"/>
          <w:color w:val="1F5FA8"/>
          <w:sz w:val="26"/>
        </w:rPr>
        <w:t>Stand van zaken per afdeling</w:t>
      </w:r>
    </w:p>
    <w:tbl>
      <w:tblPr>
        <w:tblW w:type="auto" w:w="0"/>
        <w:jc w:val="center"/>
        <w:tblBorders>
          <w:top w:val="single" w:sz="4" w:space="0" w:color="B9C4D2"/>
          <w:left w:val="single" w:sz="4" w:space="0" w:color="B9C4D2"/>
          <w:bottom w:val="single" w:sz="4" w:space="0" w:color="B9C4D2"/>
          <w:right w:val="single" w:sz="4" w:space="0" w:color="B9C4D2"/>
          <w:insideH w:val="single" w:sz="4" w:space="0" w:color="B9C4D2"/>
          <w:insideV w:val="single" w:sz="4" w:space="0" w:color="B9C4D2"/>
        </w:tblBorders>
        <w:tblLook w:firstColumn="1" w:firstRow="1" w:lastColumn="0" w:lastRow="0" w:noHBand="0" w:noVBand="1" w:val="04A0"/>
      </w:tblPr>
      <w:tblGrid>
        <w:gridCol w:w="1550"/>
        <w:gridCol w:w="1550"/>
        <w:gridCol w:w="1550"/>
        <w:gridCol w:w="1550"/>
        <w:gridCol w:w="1550"/>
        <w:gridCol w:w="1550"/>
      </w:tblGrid>
      <w:tr>
        <w:tc>
          <w:tcPr>
            <w:tcW w:type="dxa" w:w="1701"/>
            <w:shd w:val="clear" w:color="auto" w:fill="1F5FA8"/>
          </w:tcPr>
          <w:p>
            <w:pPr>
              <w:spacing w:after="40"/>
            </w:pPr>
            <w:r>
              <w:rPr>
                <w:b/>
                <w:color w:val="FFFFFF"/>
                <w:sz w:val="18"/>
              </w:rPr>
              <w:t>Afdeling</w:t>
            </w:r>
          </w:p>
        </w:tc>
        <w:tc>
          <w:tcPr>
            <w:tcW w:type="dxa" w:w="907"/>
            <w:shd w:val="clear" w:color="auto" w:fill="1F5FA8"/>
          </w:tcPr>
          <w:p>
            <w:pPr>
              <w:spacing w:after="40"/>
            </w:pPr>
            <w:r>
              <w:rPr>
                <w:b/>
                <w:color w:val="FFFFFF"/>
                <w:sz w:val="18"/>
              </w:rPr>
              <w:t>Aantal</w:t>
            </w:r>
          </w:p>
        </w:tc>
        <w:tc>
          <w:tcPr>
            <w:tcW w:type="dxa" w:w="1587"/>
            <w:shd w:val="clear" w:color="auto" w:fill="1F5FA8"/>
          </w:tcPr>
          <w:p>
            <w:pPr>
              <w:spacing w:after="40"/>
            </w:pPr>
            <w:r>
              <w:rPr>
                <w:b/>
                <w:color w:val="FFFFFF"/>
                <w:sz w:val="18"/>
              </w:rPr>
              <w:t>Jaarplan?</w:t>
            </w:r>
          </w:p>
        </w:tc>
        <w:tc>
          <w:tcPr>
            <w:tcW w:type="dxa" w:w="1134"/>
            <w:shd w:val="clear" w:color="auto" w:fill="1F5FA8"/>
          </w:tcPr>
          <w:p>
            <w:pPr>
              <w:spacing w:after="40"/>
            </w:pPr>
            <w:r>
              <w:rPr>
                <w:b/>
                <w:color w:val="FFFFFF"/>
                <w:sz w:val="18"/>
              </w:rPr>
              <w:t>Norm vpk?</w:t>
            </w:r>
          </w:p>
        </w:tc>
        <w:tc>
          <w:tcPr>
            <w:tcW w:type="dxa" w:w="2041"/>
            <w:shd w:val="clear" w:color="auto" w:fill="1F5FA8"/>
          </w:tcPr>
          <w:p>
            <w:pPr>
              <w:spacing w:after="40"/>
            </w:pPr>
            <w:r>
              <w:rPr>
                <w:b/>
                <w:color w:val="FFFFFF"/>
                <w:sz w:val="18"/>
              </w:rPr>
              <w:t>Huidige inzet</w:t>
            </w:r>
          </w:p>
        </w:tc>
        <w:tc>
          <w:tcPr>
            <w:tcW w:type="dxa" w:w="1928"/>
            <w:shd w:val="clear" w:color="auto" w:fill="1F5FA8"/>
          </w:tcPr>
          <w:p>
            <w:pPr>
              <w:spacing w:after="40"/>
            </w:pPr>
            <w:r>
              <w:rPr>
                <w:b/>
                <w:color w:val="FFFFFF"/>
                <w:sz w:val="18"/>
              </w:rPr>
              <w:t>Omgerekende norm huidig</w:t>
            </w:r>
          </w:p>
        </w:tc>
      </w:tr>
      <w:tr>
        <w:tc>
          <w:tcPr>
            <w:tcW w:type="dxa" w:w="1701"/>
            <w:shd w:val="clear" w:color="auto" w:fill="F2F4F7"/>
          </w:tcPr>
          <w:p>
            <w:pPr>
              <w:spacing w:after="40"/>
            </w:pPr>
            <w:r>
              <w:rPr>
                <w:b/>
                <w:sz w:val="18"/>
              </w:rPr>
              <w:t>ICU</w:t>
            </w:r>
          </w:p>
        </w:tc>
        <w:tc>
          <w:tcPr>
            <w:tcW w:type="dxa" w:w="907"/>
            <w:shd w:val="clear" w:color="auto" w:fill="F2F4F7"/>
          </w:tcPr>
          <w:p>
            <w:pPr>
              <w:spacing w:after="40"/>
            </w:pPr>
            <w:r>
              <w:rPr>
                <w:b w:val="0"/>
                <w:sz w:val="18"/>
              </w:rPr>
              <w:t>10</w:t>
            </w:r>
          </w:p>
        </w:tc>
        <w:tc>
          <w:tcPr>
            <w:tcW w:type="dxa" w:w="1587"/>
            <w:shd w:val="clear" w:color="auto" w:fill="F2F4F7"/>
          </w:tcPr>
          <w:p>
            <w:pPr>
              <w:spacing w:after="40"/>
            </w:pPr>
            <w:r>
              <w:rPr>
                <w:b w:val="0"/>
                <w:color w:val="D2691E"/>
                <w:sz w:val="18"/>
              </w:rPr>
              <w:t>nee</w:t>
            </w:r>
          </w:p>
        </w:tc>
        <w:tc>
          <w:tcPr>
            <w:tcW w:type="dxa" w:w="1134"/>
            <w:shd w:val="clear" w:color="auto" w:fill="F2F4F7"/>
          </w:tcPr>
          <w:p>
            <w:pPr>
              <w:spacing w:after="40"/>
            </w:pPr>
            <w:r>
              <w:rPr>
                <w:b w:val="0"/>
                <w:color w:val="D2691E"/>
                <w:sz w:val="18"/>
              </w:rPr>
              <w:t>nee</w:t>
            </w:r>
          </w:p>
        </w:tc>
        <w:tc>
          <w:tcPr>
            <w:tcW w:type="dxa" w:w="2041"/>
            <w:shd w:val="clear" w:color="auto" w:fill="F2F4F7"/>
          </w:tcPr>
          <w:p>
            <w:pPr>
              <w:spacing w:after="40"/>
            </w:pPr>
            <w:r>
              <w:rPr>
                <w:b w:val="0"/>
                <w:sz w:val="18"/>
              </w:rPr>
              <w:t>Dag - Laat - Nacht</w:t>
            </w:r>
          </w:p>
        </w:tc>
        <w:tc>
          <w:tcPr>
            <w:tcW w:type="dxa" w:w="1928"/>
            <w:shd w:val="clear" w:color="auto" w:fill="F2F4F7"/>
          </w:tcPr>
          <w:p>
            <w:pPr>
              <w:spacing w:after="40"/>
            </w:pPr>
            <w:r>
              <w:rPr>
                <w:b w:val="0"/>
                <w:sz w:val="18"/>
              </w:rPr>
              <w:t>D: ___  L: ___  N: ___</w:t>
            </w:r>
          </w:p>
        </w:tc>
      </w:tr>
      <w:tr>
        <w:tc>
          <w:tcPr>
            <w:tcW w:type="dxa" w:w="1701"/>
          </w:tcPr>
          <w:p>
            <w:pPr>
              <w:spacing w:after="40"/>
            </w:pPr>
            <w:r>
              <w:rPr>
                <w:b/>
                <w:sz w:val="18"/>
              </w:rPr>
              <w:t>CCU / SCU / EHH</w:t>
            </w:r>
          </w:p>
        </w:tc>
        <w:tc>
          <w:tcPr>
            <w:tcW w:type="dxa" w:w="907"/>
          </w:tcPr>
          <w:p>
            <w:pPr>
              <w:spacing w:after="40"/>
            </w:pPr>
            <w:r>
              <w:rPr>
                <w:b w:val="0"/>
                <w:sz w:val="18"/>
              </w:rPr>
              <w:t>15</w:t>
            </w:r>
          </w:p>
        </w:tc>
        <w:tc>
          <w:tcPr>
            <w:tcW w:type="dxa" w:w="1587"/>
          </w:tcPr>
          <w:p>
            <w:pPr>
              <w:spacing w:after="40"/>
            </w:pPr>
            <w:r>
              <w:rPr>
                <w:b w:val="0"/>
                <w:sz w:val="18"/>
              </w:rPr>
              <w:t>ja, niet ingevoerd</w:t>
            </w:r>
          </w:p>
        </w:tc>
        <w:tc>
          <w:tcPr>
            <w:tcW w:type="dxa" w:w="1134"/>
          </w:tcPr>
          <w:p>
            <w:pPr>
              <w:spacing w:after="40"/>
            </w:pPr>
            <w:r>
              <w:rPr>
                <w:b w:val="0"/>
                <w:color w:val="D2691E"/>
                <w:sz w:val="18"/>
              </w:rPr>
              <w:t>nee</w:t>
            </w:r>
          </w:p>
        </w:tc>
        <w:tc>
          <w:tcPr>
            <w:tcW w:type="dxa" w:w="2041"/>
          </w:tcPr>
          <w:p>
            <w:pPr>
              <w:spacing w:after="40"/>
            </w:pPr>
            <w:r>
              <w:rPr>
                <w:b w:val="0"/>
                <w:sz w:val="18"/>
              </w:rPr>
              <w:t>Dag - Laat - Nacht</w:t>
            </w:r>
          </w:p>
        </w:tc>
        <w:tc>
          <w:tcPr>
            <w:tcW w:type="dxa" w:w="1928"/>
          </w:tcPr>
          <w:p>
            <w:pPr>
              <w:spacing w:after="40"/>
            </w:pPr>
            <w:r>
              <w:rPr>
                <w:b w:val="0"/>
                <w:sz w:val="18"/>
              </w:rPr>
              <w:t>D: ___  L: ___  N: ___</w:t>
            </w:r>
          </w:p>
        </w:tc>
      </w:tr>
      <w:tr>
        <w:tc>
          <w:tcPr>
            <w:tcW w:type="dxa" w:w="1701"/>
            <w:shd w:val="clear" w:color="auto" w:fill="F2F4F7"/>
          </w:tcPr>
          <w:p>
            <w:pPr>
              <w:spacing w:after="40"/>
            </w:pPr>
            <w:r>
              <w:rPr>
                <w:b/>
                <w:sz w:val="18"/>
              </w:rPr>
              <w:t>SEH</w:t>
            </w:r>
          </w:p>
        </w:tc>
        <w:tc>
          <w:tcPr>
            <w:tcW w:type="dxa" w:w="907"/>
            <w:shd w:val="clear" w:color="auto" w:fill="F2F4F7"/>
          </w:tcPr>
          <w:p>
            <w:pPr>
              <w:spacing w:after="40"/>
            </w:pPr>
            <w:r>
              <w:rPr>
                <w:b w:val="0"/>
                <w:sz w:val="18"/>
              </w:rPr>
              <w:t>-</w:t>
            </w:r>
          </w:p>
        </w:tc>
        <w:tc>
          <w:tcPr>
            <w:tcW w:type="dxa" w:w="1587"/>
            <w:shd w:val="clear" w:color="auto" w:fill="F2F4F7"/>
          </w:tcPr>
          <w:p>
            <w:pPr>
              <w:spacing w:after="40"/>
            </w:pPr>
            <w:r>
              <w:rPr>
                <w:b w:val="0"/>
                <w:sz w:val="18"/>
              </w:rPr>
              <w:t>-</w:t>
            </w:r>
          </w:p>
        </w:tc>
        <w:tc>
          <w:tcPr>
            <w:tcW w:type="dxa" w:w="1134"/>
            <w:shd w:val="clear" w:color="auto" w:fill="F2F4F7"/>
          </w:tcPr>
          <w:p>
            <w:pPr>
              <w:spacing w:after="40"/>
            </w:pPr>
            <w:r>
              <w:rPr>
                <w:b w:val="0"/>
                <w:color w:val="D2691E"/>
                <w:sz w:val="18"/>
              </w:rPr>
              <w:t>nee</w:t>
            </w:r>
          </w:p>
        </w:tc>
        <w:tc>
          <w:tcPr>
            <w:tcW w:type="dxa" w:w="2041"/>
            <w:shd w:val="clear" w:color="auto" w:fill="F2F4F7"/>
          </w:tcPr>
          <w:p>
            <w:pPr>
              <w:spacing w:after="40"/>
            </w:pPr>
            <w:r>
              <w:rPr>
                <w:b w:val="0"/>
                <w:sz w:val="18"/>
              </w:rPr>
              <w:t>Dag - Tussen - Laat - Nacht</w:t>
            </w:r>
          </w:p>
        </w:tc>
        <w:tc>
          <w:tcPr>
            <w:tcW w:type="dxa" w:w="1928"/>
            <w:shd w:val="clear" w:color="auto" w:fill="F2F4F7"/>
          </w:tcPr>
          <w:p>
            <w:pPr>
              <w:spacing w:after="40"/>
            </w:pPr>
            <w:r>
              <w:rPr>
                <w:b w:val="0"/>
                <w:sz w:val="18"/>
              </w:rPr>
              <w:t>D: ___  T: ___  L: ___  N: ___</w:t>
            </w:r>
          </w:p>
        </w:tc>
      </w:tr>
      <w:tr>
        <w:tc>
          <w:tcPr>
            <w:tcW w:type="dxa" w:w="1701"/>
          </w:tcPr>
          <w:p>
            <w:pPr>
              <w:spacing w:after="40"/>
            </w:pPr>
            <w:r>
              <w:rPr>
                <w:b/>
                <w:sz w:val="18"/>
              </w:rPr>
              <w:t>Kind spoed</w:t>
            </w:r>
          </w:p>
        </w:tc>
        <w:tc>
          <w:tcPr>
            <w:tcW w:type="dxa" w:w="907"/>
          </w:tcPr>
          <w:p>
            <w:pPr>
              <w:spacing w:after="40"/>
            </w:pPr>
            <w:r>
              <w:rPr>
                <w:b w:val="0"/>
                <w:sz w:val="18"/>
              </w:rPr>
              <w:t>-</w:t>
            </w:r>
          </w:p>
        </w:tc>
        <w:tc>
          <w:tcPr>
            <w:tcW w:type="dxa" w:w="1587"/>
          </w:tcPr>
          <w:p>
            <w:pPr>
              <w:spacing w:after="40"/>
            </w:pPr>
            <w:r>
              <w:rPr>
                <w:b w:val="0"/>
                <w:color w:val="D2691E"/>
                <w:sz w:val="18"/>
              </w:rPr>
              <w:t>nee</w:t>
            </w:r>
          </w:p>
        </w:tc>
        <w:tc>
          <w:tcPr>
            <w:tcW w:type="dxa" w:w="1134"/>
          </w:tcPr>
          <w:p>
            <w:pPr>
              <w:spacing w:after="40"/>
            </w:pPr>
            <w:r>
              <w:rPr>
                <w:b w:val="0"/>
                <w:color w:val="D2691E"/>
                <w:sz w:val="18"/>
              </w:rPr>
              <w:t>?</w:t>
            </w:r>
          </w:p>
        </w:tc>
        <w:tc>
          <w:tcPr>
            <w:tcW w:type="dxa" w:w="2041"/>
          </w:tcPr>
          <w:p>
            <w:pPr>
              <w:spacing w:after="40"/>
            </w:pPr>
            <w:r>
              <w:rPr>
                <w:b w:val="0"/>
                <w:color w:val="D2691E"/>
                <w:sz w:val="18"/>
              </w:rPr>
              <w:t>?</w:t>
            </w:r>
          </w:p>
        </w:tc>
        <w:tc>
          <w:tcPr>
            <w:tcW w:type="dxa" w:w="1928"/>
          </w:tcPr>
          <w:p>
            <w:pPr>
              <w:spacing w:after="40"/>
            </w:pPr>
            <w:r>
              <w:rPr>
                <w:b w:val="0"/>
                <w:color w:val="D2691E"/>
                <w:sz w:val="18"/>
              </w:rPr>
              <w:t>?</w:t>
            </w:r>
          </w:p>
        </w:tc>
      </w:tr>
    </w:tbl>
    <w:p>
      <w:pPr>
        <w:spacing w:before="0" w:after="120" w:line="300" w:lineRule="auto"/>
      </w:pPr>
    </w:p>
    <w:tbl>
      <w:tblPr>
        <w:tblW w:type="auto" w:w="0"/>
        <w:jc w:val="center"/>
        <w:tblBorders>
          <w:top w:val="single" w:sz="8" w:space="0" w:color="D2691E"/>
          <w:left w:val="single" w:sz="8" w:space="0" w:color="D2691E"/>
          <w:bottom w:val="single" w:sz="8" w:space="0" w:color="D2691E"/>
          <w:right w:val="single" w:sz="8" w:space="0" w:color="D2691E"/>
          <w:insideH w:val="single" w:sz="8" w:space="0" w:color="D2691E"/>
          <w:insideV w:val="single" w:sz="8" w:space="0" w:color="D2691E"/>
        </w:tblBorders>
        <w:tblLook w:firstColumn="1" w:firstRow="1" w:lastColumn="0" w:lastRow="0" w:noHBand="0" w:noVBand="1" w:val="04A0"/>
      </w:tblPr>
      <w:tblGrid>
        <w:gridCol w:w="9298"/>
      </w:tblGrid>
      <w:tr>
        <w:tc>
          <w:tcPr>
            <w:tcW w:type="dxa" w:w="9298"/>
            <w:shd w:val="clear" w:color="auto" w:fill="FBEEE3"/>
          </w:tcPr>
          <w:p>
            <w:pPr>
              <w:spacing w:after="80"/>
            </w:pPr>
            <w:r>
              <w:rPr>
                <w:b/>
                <w:color w:val="D2691E"/>
                <w:sz w:val="22"/>
              </w:rPr>
              <w:t>Wat hier uit volgt</w:t>
            </w:r>
          </w:p>
          <w:p>
            <w:pPr>
              <w:spacing w:after="40" w:line="288" w:lineRule="auto"/>
            </w:pPr>
            <w:r>
              <w:rPr>
                <w:color w:val="1B2430"/>
                <w:sz w:val="20"/>
              </w:rPr>
              <w:t>Voor geen enkele afdeling is de norm verpleegkundigen vastgesteld.</w:t>
            </w:r>
          </w:p>
          <w:p>
            <w:pPr>
              <w:spacing w:after="40" w:line="288" w:lineRule="auto"/>
            </w:pPr>
            <w:r>
              <w:rPr>
                <w:color w:val="1B2430"/>
                <w:sz w:val="20"/>
              </w:rPr>
              <w:t>Alleen CCU/SCU/EHH heeft een jaarplan, en dat is niet ingevoerd.</w:t>
            </w:r>
          </w:p>
          <w:p>
            <w:pPr>
              <w:spacing w:after="40" w:line="288" w:lineRule="auto"/>
            </w:pPr>
            <w:r>
              <w:rPr>
                <w:color w:val="1B2430"/>
                <w:sz w:val="20"/>
              </w:rPr>
              <w:t>Voor kind spoed ontbreken de gegevens nog helemaal.</w:t>
            </w:r>
          </w:p>
          <w:p>
            <w:pPr>
              <w:spacing w:after="40" w:line="288" w:lineRule="auto"/>
            </w:pPr>
            <w:r>
              <w:rPr>
                <w:color w:val="1B2430"/>
                <w:sz w:val="20"/>
              </w:rPr>
              <w:t>De gewenste norm (kolom 'gewenste norm Remco' op het bord) moet nog ingevuld worden voor ICU, CCU/SCU/EHH en SEH.</w:t>
            </w:r>
          </w:p>
        </w:tc>
      </w:tr>
    </w:tbl>
    <w:p>
      <w:pPr>
        <w:spacing w:after="80"/>
      </w:pPr>
    </w:p>
    <w:p>
      <w:r>
        <w:br w:type="page"/>
      </w:r>
    </w:p>
    <w:p>
      <w:pPr>
        <w:pStyle w:val="Heading1"/>
        <w:pBdr>
          <w:bottom w:val="single" w:sz="6" w:space="4" w:color="D2691E"/>
        </w:pBdr>
        <w:spacing w:before="360" w:after="120"/>
      </w:pPr>
      <w:r>
        <w:rPr>
          <w:rFonts w:ascii="Calibri" w:hAnsi="Calibri"/>
          <w:color w:val="D2691E"/>
          <w:sz w:val="34"/>
        </w:rPr>
        <w:t>11. Punten die op het bord niet eenduidig te lezen zijn</w:t>
      </w:r>
    </w:p>
    <w:p>
      <w:pPr>
        <w:spacing w:before="0" w:after="120" w:line="300" w:lineRule="auto"/>
      </w:pPr>
      <w:r>
        <w:rPr>
          <w:b w:val="0"/>
          <w:i w:val="0"/>
          <w:color w:val="1B2430"/>
          <w:sz w:val="21"/>
        </w:rPr>
        <w:t>Bij het uitwerken zijn een paar plekken op het bord tegenstrijdig of slecht leesbaar. Hieronder staat per punt wat er is aangenomen. Graag controleren en corrigeren.</w:t>
      </w:r>
    </w:p>
    <w:p>
      <w:pPr>
        <w:spacing w:before="160" w:after="40"/>
      </w:pPr>
      <w:r>
        <w:rPr>
          <w:b/>
          <w:color w:val="D2691E"/>
          <w:sz w:val="22"/>
        </w:rPr>
        <w:t>Jaartallen bij 'plan'</w:t>
      </w:r>
    </w:p>
    <w:p>
      <w:pPr>
        <w:spacing w:before="0" w:after="40" w:line="300" w:lineRule="auto"/>
      </w:pPr>
      <w:r>
        <w:rPr>
          <w:b w:val="0"/>
          <w:i w:val="0"/>
          <w:color w:val="1B2430"/>
          <w:sz w:val="21"/>
        </w:rPr>
        <w:t>Op het bord staat 'verhuis 2026 juni begin' en 'nieuwbouw juni eind', maar rechtsonder staat 'nu - heel 2026 / oudbouw 2027 / verhuis / nieuwbouw juni 2027'. In dit document is 2027 aangehouden voor oudbouw, verhuis en nieuwbouw. Klopt dat?</w:t>
      </w:r>
    </w:p>
    <w:p>
      <w:pPr>
        <w:spacing w:before="160" w:after="40"/>
      </w:pPr>
      <w:r>
        <w:rPr>
          <w:b/>
          <w:color w:val="D2691E"/>
          <w:sz w:val="22"/>
        </w:rPr>
        <w:t>De kolom met 10 en 15</w:t>
      </w:r>
    </w:p>
    <w:p>
      <w:pPr>
        <w:spacing w:before="0" w:after="40" w:line="300" w:lineRule="auto"/>
      </w:pPr>
      <w:r>
        <w:rPr>
          <w:b w:val="0"/>
          <w:i w:val="0"/>
          <w:color w:val="1B2430"/>
          <w:sz w:val="21"/>
        </w:rPr>
        <w:t>In de tabel staan de getallen 10 en 15 bij ICU en CCU/SCU/EHH, zonder kolomkop. Aangenomen is dat dit het aantal bedden of plekken is. Waar staan deze getallen voor?</w:t>
      </w:r>
    </w:p>
    <w:p>
      <w:pPr>
        <w:spacing w:before="160" w:after="40"/>
      </w:pPr>
      <w:r>
        <w:rPr>
          <w:b/>
          <w:color w:val="D2691E"/>
          <w:sz w:val="22"/>
        </w:rPr>
        <w:t>Rij 'kind spoed' in de tabel</w:t>
      </w:r>
    </w:p>
    <w:p>
      <w:pPr>
        <w:spacing w:before="0" w:after="40" w:line="300" w:lineRule="auto"/>
      </w:pPr>
      <w:r>
        <w:rPr>
          <w:b w:val="0"/>
          <w:i w:val="0"/>
          <w:color w:val="1B2430"/>
          <w:sz w:val="21"/>
        </w:rPr>
        <w:t>Bij kind spoed staat één 'nee' en verder vraagtekens. Aangenomen is dat de 'nee' bij 'jaarplan?' hoort. Klopt die uitlijning?</w:t>
      </w:r>
    </w:p>
    <w:p>
      <w:pPr>
        <w:spacing w:before="160" w:after="40"/>
      </w:pPr>
      <w:r>
        <w:rPr>
          <w:b/>
          <w:color w:val="D2691E"/>
          <w:sz w:val="22"/>
        </w:rPr>
        <w:t>'Weigeringskans'</w:t>
      </w:r>
    </w:p>
    <w:p>
      <w:pPr>
        <w:spacing w:before="0" w:after="40" w:line="300" w:lineRule="auto"/>
      </w:pPr>
      <w:r>
        <w:rPr>
          <w:b w:val="0"/>
          <w:i w:val="0"/>
          <w:color w:val="1B2430"/>
          <w:sz w:val="21"/>
        </w:rPr>
        <w:t>Bij de Hotfloor-analyse staat een woord dat gelezen is als 'weigeringskans'. Klopt dat, en gaat het om de kans dat een patiënt geweigerd moet worden bij 16 bedden?</w:t>
      </w:r>
    </w:p>
    <w:p>
      <w:pPr>
        <w:spacing w:before="160" w:after="40"/>
      </w:pPr>
      <w:r>
        <w:rPr>
          <w:b/>
          <w:color w:val="D2691E"/>
          <w:sz w:val="22"/>
        </w:rPr>
        <w:t>'OSAS post-ok'</w:t>
      </w:r>
    </w:p>
    <w:p>
      <w:pPr>
        <w:spacing w:before="0" w:after="40" w:line="300" w:lineRule="auto"/>
      </w:pPr>
      <w:r>
        <w:rPr>
          <w:b w:val="0"/>
          <w:i w:val="0"/>
          <w:color w:val="1B2430"/>
          <w:sz w:val="21"/>
        </w:rPr>
        <w:t>Bij de openstaande vragen staat 'komt OSAS post-ok nog op icu?'. Aangenomen is: de OSAS-patiënt na de operatie. Klopt dat?</w:t>
      </w:r>
    </w:p>
    <w:p>
      <w:pPr>
        <w:spacing w:before="160" w:after="40"/>
      </w:pPr>
      <w:r>
        <w:rPr>
          <w:b/>
          <w:color w:val="D2691E"/>
          <w:sz w:val="22"/>
        </w:rPr>
        <w:t>'scope dienst CCU'</w:t>
      </w:r>
    </w:p>
    <w:p>
      <w:pPr>
        <w:spacing w:before="0" w:after="40" w:line="300" w:lineRule="auto"/>
      </w:pPr>
      <w:r>
        <w:rPr>
          <w:b w:val="0"/>
          <w:i w:val="0"/>
          <w:color w:val="1B2430"/>
          <w:sz w:val="21"/>
        </w:rPr>
        <w:t>Bij de personele vragen staat 'wat gebeurt er met scope dienst CCU?'. Aangenomen is de scopedienst (endoscopie-bereikbaarheidsdienst). Klopt dat?</w:t>
      </w:r>
    </w:p>
    <w:p>
      <w:pPr>
        <w:spacing w:before="160" w:after="40"/>
      </w:pPr>
      <w:r>
        <w:rPr>
          <w:b/>
          <w:color w:val="D2691E"/>
          <w:sz w:val="22"/>
        </w:rPr>
        <w:t>'Berekeningen' onder de tijdlijn</w:t>
      </w:r>
    </w:p>
    <w:p>
      <w:pPr>
        <w:spacing w:before="0" w:after="40" w:line="300" w:lineRule="auto"/>
      </w:pPr>
      <w:r>
        <w:rPr>
          <w:b w:val="0"/>
          <w:i w:val="0"/>
          <w:color w:val="1B2430"/>
          <w:sz w:val="21"/>
        </w:rPr>
        <w:t>Onder 'norm vph patiëntenzorg gereed' staan D:, L: en N: zonder waarden. Aangenomen is dat dit de nog in te vullen normen per dienst zijn.</w:t>
      </w:r>
    </w:p>
    <w:p>
      <w:pPr>
        <w:spacing w:before="160" w:after="40"/>
      </w:pPr>
      <w:r>
        <w:rPr>
          <w:b/>
          <w:color w:val="D2691E"/>
          <w:sz w:val="22"/>
        </w:rPr>
        <w:t>Namen bij de SEH-stromen</w:t>
      </w:r>
    </w:p>
    <w:p>
      <w:pPr>
        <w:spacing w:before="0" w:after="40" w:line="300" w:lineRule="auto"/>
      </w:pPr>
      <w:r>
        <w:rPr>
          <w:b w:val="0"/>
          <w:i w:val="0"/>
          <w:color w:val="1B2430"/>
          <w:sz w:val="21"/>
        </w:rPr>
        <w:t>Bij de SEH staat 'scenario's Maxim en Sigrid'. Zijn dat de namen van de collega's die deze scenario's uitwerken?</w:t>
      </w:r>
    </w:p>
    <w:p>
      <w:pPr>
        <w:spacing w:before="160" w:after="40"/>
      </w:pPr>
      <w:r>
        <w:rPr>
          <w:b/>
          <w:color w:val="D2691E"/>
          <w:sz w:val="22"/>
        </w:rPr>
        <w:t>'Remco' in de tabel</w:t>
      </w:r>
    </w:p>
    <w:p>
      <w:pPr>
        <w:spacing w:before="0" w:after="40" w:line="300" w:lineRule="auto"/>
      </w:pPr>
      <w:r>
        <w:rPr>
          <w:b w:val="0"/>
          <w:i w:val="0"/>
          <w:color w:val="1B2430"/>
          <w:sz w:val="21"/>
        </w:rPr>
        <w:t>De laatste kolom heet 'gewenste norm Remco'. Aangenomen is dat dit de door Remco gewenste norm is, nog in te vullen per afdeling.</w:t>
      </w:r>
    </w:p>
    <w:p>
      <w:pPr>
        <w:spacing w:before="160" w:after="40"/>
      </w:pPr>
      <w:r>
        <w:rPr>
          <w:b/>
          <w:color w:val="D2691E"/>
          <w:sz w:val="22"/>
        </w:rPr>
        <w:t>'kinderverpl. op SEH'</w:t>
      </w:r>
    </w:p>
    <w:p>
      <w:pPr>
        <w:spacing w:before="0" w:after="40" w:line="300" w:lineRule="auto"/>
      </w:pPr>
      <w:r>
        <w:rPr>
          <w:b w:val="0"/>
          <w:i w:val="0"/>
          <w:color w:val="1B2430"/>
          <w:sz w:val="21"/>
        </w:rPr>
        <w:t>Gelezen als 'inzet kinderverpleegkundige op SEH'. Klopt dat?</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2"/>
        <w:sz w:val="16"/>
      </w:rPr>
      <w:t>Integraal Capaciteitsmanagement  |  uitwerking whiteboardsessie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