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Borders>
          <w:top w:val="single" w:sz="4" w:space="0" w:color="123A63"/>
          <w:left w:val="single" w:sz="4" w:space="0" w:color="123A63"/>
          <w:bottom w:val="single" w:sz="4" w:space="0" w:color="123A63"/>
          <w:right w:val="single" w:sz="4" w:space="0" w:color="123A63"/>
          <w:insideH w:val="none" w:sz="4" w:space="0" w:color="123A63"/>
          <w:insideV w:val="none" w:sz="4" w:space="0" w:color="123A63"/>
        </w:tblBorders>
        <w:tblCellMar>
          <w:top w:w="0" w:type="dxa"/>
          <w:left w:w="400" w:type="dxa"/>
          <w:bottom w:w="0" w:type="dxa"/>
          <w:right w:w="400" w:type="dxa"/>
        </w:tblCellMar>
        <w:tblLook w:firstColumn="1" w:firstRow="1" w:lastColumn="0" w:lastRow="0" w:noHBand="0" w:noVBand="1" w:val="04A0"/>
      </w:tblPr>
      <w:tblGrid>
        <w:gridCol w:w="9752"/>
      </w:tblGrid>
      <w:tr>
        <w:tc>
          <w:tcPr>
            <w:tcW w:type="dxa" w:w="9751"/>
            <w:shd w:val="clear" w:color="auto" w:fill="123A63"/>
          </w:tcPr>
          <w:p>
            <w:pPr>
              <w:spacing w:before="520" w:after="40"/>
            </w:pPr>
            <w:r>
              <w:rPr>
                <w:b/>
                <w:color w:val="9EC0E0"/>
                <w:sz w:val="22"/>
              </w:rPr>
              <w:t>INTEGRAAL CAPACITEITSMANAGEMENT</w:t>
            </w:r>
          </w:p>
          <w:p>
            <w:pPr>
              <w:spacing w:after="80"/>
            </w:pPr>
            <w:r>
              <w:rPr>
                <w:b/>
                <w:color w:val="FFFFFF"/>
                <w:sz w:val="68"/>
              </w:rPr>
              <w:t>Acute poort en Hotfloor</w:t>
            </w:r>
          </w:p>
          <w:p>
            <w:pPr>
              <w:spacing w:after="560"/>
            </w:pPr>
            <w:r>
              <w:rPr>
                <w:color w:val="C9DCEE"/>
                <w:sz w:val="26"/>
              </w:rPr>
              <w:t>Van de huidige situatie naar de nieuwbouw, juni 2027</w:t>
            </w:r>
          </w:p>
        </w:tc>
      </w:tr>
    </w:tbl>
    <w:p/>
    <w:p>
      <w:pPr>
        <w:spacing w:before="0" w:after="320" w:line="312" w:lineRule="auto"/>
      </w:pPr>
      <w:r>
        <w:rPr>
          <w:b w:val="0"/>
          <w:i w:val="0"/>
          <w:color w:val="64748B"/>
          <w:sz w:val="23"/>
        </w:rPr>
        <w:t>Dit document vat de whiteboardsessie samen in twaalf platen. Elke plaat is op zichzelf te lezen: wat weten we, wat staat er nog open, en wat moet er besloten worden.</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60" w:type="dxa"/>
          <w:left w:w="120" w:type="dxa"/>
          <w:bottom w:w="60" w:type="dxa"/>
          <w:right w:w="120" w:type="dxa"/>
        </w:tblCellMar>
        <w:tblLook w:firstColumn="1" w:firstRow="1" w:lastColumn="0" w:lastRow="0" w:noHBand="0" w:noVBand="1" w:val="04A0"/>
      </w:tblPr>
      <w:tblGrid>
        <w:gridCol w:w="4876"/>
        <w:gridCol w:w="4876"/>
      </w:tblGrid>
      <w:tr>
        <w:tc>
          <w:tcPr>
            <w:tcW w:type="dxa" w:w="1928"/>
            <w:shd w:val="clear" w:color="auto" w:fill="F4F7FB"/>
          </w:tcPr>
          <w:p>
            <w:r>
              <w:rPr>
                <w:b/>
                <w:color w:val="123A63"/>
                <w:sz w:val="19"/>
              </w:rPr>
              <w:t>Onderwerp</w:t>
            </w:r>
          </w:p>
        </w:tc>
        <w:tc>
          <w:tcPr>
            <w:tcW w:type="dxa" w:w="7824"/>
          </w:tcPr>
          <w:p>
            <w:r>
              <w:rPr>
                <w:sz w:val="19"/>
              </w:rPr>
              <w:t>Acute poort, Hotfloor, scenario's en personele inzet</w:t>
            </w:r>
          </w:p>
        </w:tc>
      </w:tr>
      <w:tr>
        <w:tc>
          <w:tcPr>
            <w:tcW w:type="dxa" w:w="1928"/>
            <w:shd w:val="clear" w:color="auto" w:fill="F4F7FB"/>
          </w:tcPr>
          <w:p>
            <w:r>
              <w:rPr>
                <w:b/>
                <w:color w:val="123A63"/>
                <w:sz w:val="19"/>
              </w:rPr>
              <w:t>Afdelingen</w:t>
            </w:r>
          </w:p>
        </w:tc>
        <w:tc>
          <w:tcPr>
            <w:tcW w:type="dxa" w:w="7824"/>
          </w:tcPr>
          <w:p>
            <w:r>
              <w:rPr>
                <w:sz w:val="19"/>
              </w:rPr>
              <w:t>ICU (10 kamers), CCU/SCU/EHH (15 kamers), SEH, kind spoed</w:t>
            </w:r>
          </w:p>
        </w:tc>
      </w:tr>
      <w:tr>
        <w:tc>
          <w:tcPr>
            <w:tcW w:type="dxa" w:w="1928"/>
            <w:shd w:val="clear" w:color="auto" w:fill="F4F7FB"/>
          </w:tcPr>
          <w:p>
            <w:r>
              <w:rPr>
                <w:b/>
                <w:color w:val="123A63"/>
                <w:sz w:val="19"/>
              </w:rPr>
              <w:t>Bron</w:t>
            </w:r>
          </w:p>
        </w:tc>
        <w:tc>
          <w:tcPr>
            <w:tcW w:type="dxa" w:w="7824"/>
          </w:tcPr>
          <w:p>
            <w:r>
              <w:rPr>
                <w:sz w:val="19"/>
              </w:rPr>
              <w:t>Whiteboardsessie, aangevuld met de vragen van Lonneke en Maxim</w:t>
            </w:r>
          </w:p>
        </w:tc>
      </w:tr>
      <w:tr>
        <w:tc>
          <w:tcPr>
            <w:tcW w:type="dxa" w:w="1928"/>
            <w:shd w:val="clear" w:color="auto" w:fill="F4F7FB"/>
          </w:tcPr>
          <w:p>
            <w:r>
              <w:rPr>
                <w:b/>
                <w:color w:val="123A63"/>
                <w:sz w:val="19"/>
              </w:rPr>
              <w:t>Status</w:t>
            </w:r>
          </w:p>
        </w:tc>
        <w:tc>
          <w:tcPr>
            <w:tcW w:type="dxa" w:w="7824"/>
          </w:tcPr>
          <w:p>
            <w:r>
              <w:rPr>
                <w:sz w:val="19"/>
              </w:rPr>
              <w:t>Werkdocument - de gemarkeerde punten staan nog open</w:t>
            </w:r>
          </w:p>
        </w:tc>
      </w:tr>
    </w:tbl>
    <w:p>
      <w:r>
        <w:br w:type="page"/>
      </w:r>
    </w:p>
    <w:p>
      <w:pPr>
        <w:pStyle w:val="Heading1"/>
        <w:spacing w:before="80" w:after="40"/>
      </w:pPr>
      <w:r>
        <w:rPr>
          <w:rFonts w:ascii="Calibri" w:hAnsi="Calibri"/>
          <w:color w:val="123A63"/>
          <w:sz w:val="38"/>
        </w:rPr>
        <w:t>Inhoud</w:t>
      </w:r>
    </w:p>
    <w:p>
      <w:fldSimple w:instr="TOC \o &quot;1-1&quot; \h \z \u">
        <w:r>
          <w:t>Klik hier en druk op F9 om de inhoudsopgave bij te werken.</w:t>
        </w:r>
      </w:fldSimple>
    </w:p>
    <w:p>
      <w:pPr>
        <w:spacing w:before="0" w:after="360" w:line="312" w:lineRule="auto"/>
      </w:pPr>
      <w:r>
        <w:rPr>
          <w:b w:val="0"/>
          <w:i/>
          <w:color w:val="64748B"/>
          <w:sz w:val="18"/>
        </w:rPr>
        <w:t>Klik in de inhoudsopgave en druk op F9 om de paginanummers te vullen.</w:t>
      </w:r>
    </w:p>
    <w:p>
      <w:pPr>
        <w:pStyle w:val="Heading2"/>
        <w:spacing w:before="280" w:after="80"/>
      </w:pPr>
      <w:r>
        <w:rPr>
          <w:rFonts w:ascii="Calibri" w:hAnsi="Calibri"/>
          <w:color w:val="123A63"/>
          <w:sz w:val="25"/>
        </w:rPr>
        <w:t>Afkortingen</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20" w:type="dxa"/>
          <w:bottom w:w="40" w:type="dxa"/>
          <w:right w:w="120" w:type="dxa"/>
        </w:tblCellMar>
        <w:tblLook w:firstColumn="1" w:firstRow="1" w:lastColumn="0" w:lastRow="0" w:noHBand="0" w:noVBand="1" w:val="04A0"/>
      </w:tblPr>
      <w:tblGrid>
        <w:gridCol w:w="4876"/>
        <w:gridCol w:w="4876"/>
      </w:tblGrid>
      <w:tr>
        <w:tc>
          <w:tcPr>
            <w:tcW w:type="dxa" w:w="4876"/>
          </w:tcPr>
          <w:p>
            <w:pPr>
              <w:spacing w:before="40" w:after="40"/>
            </w:pPr>
            <w:r>
              <w:rPr>
                <w:b/>
                <w:color w:val="123A63"/>
                <w:sz w:val="19"/>
              </w:rPr>
              <w:t xml:space="preserve">SEH   </w:t>
            </w:r>
            <w:r>
              <w:rPr>
                <w:color w:val="64748B"/>
                <w:sz w:val="19"/>
              </w:rPr>
              <w:t>spoedeisende hulp</w:t>
            </w:r>
          </w:p>
        </w:tc>
        <w:tc>
          <w:tcPr>
            <w:tcW w:type="dxa" w:w="4876"/>
          </w:tcPr>
          <w:p>
            <w:pPr>
              <w:spacing w:before="40" w:after="40"/>
            </w:pPr>
            <w:r>
              <w:rPr>
                <w:b/>
                <w:color w:val="123A63"/>
                <w:sz w:val="19"/>
              </w:rPr>
              <w:t xml:space="preserve">vpk   </w:t>
            </w:r>
            <w:r>
              <w:rPr>
                <w:color w:val="64748B"/>
                <w:sz w:val="19"/>
              </w:rPr>
              <w:t>verpleegkundige</w:t>
            </w:r>
          </w:p>
        </w:tc>
      </w:tr>
      <w:tr>
        <w:tc>
          <w:tcPr>
            <w:tcW w:type="dxa" w:w="4876"/>
          </w:tcPr>
          <w:p>
            <w:pPr>
              <w:spacing w:before="40" w:after="40"/>
            </w:pPr>
            <w:r>
              <w:rPr>
                <w:b/>
                <w:color w:val="123A63"/>
                <w:sz w:val="19"/>
              </w:rPr>
              <w:t xml:space="preserve">EHH   </w:t>
            </w:r>
            <w:r>
              <w:rPr>
                <w:color w:val="64748B"/>
                <w:sz w:val="19"/>
              </w:rPr>
              <w:t>eerste hart hulp</w:t>
            </w:r>
          </w:p>
        </w:tc>
        <w:tc>
          <w:tcPr>
            <w:tcW w:type="dxa" w:w="4876"/>
          </w:tcPr>
          <w:p>
            <w:pPr>
              <w:spacing w:before="40" w:after="40"/>
            </w:pPr>
            <w:r>
              <w:rPr>
                <w:b/>
                <w:color w:val="123A63"/>
                <w:sz w:val="19"/>
              </w:rPr>
              <w:t xml:space="preserve">CPP   </w:t>
            </w:r>
            <w:r>
              <w:rPr>
                <w:color w:val="64748B"/>
                <w:sz w:val="19"/>
              </w:rPr>
              <w:t>capaciteits- en personeelsplanning</w:t>
            </w:r>
          </w:p>
        </w:tc>
      </w:tr>
      <w:tr>
        <w:tc>
          <w:tcPr>
            <w:tcW w:type="dxa" w:w="4876"/>
          </w:tcPr>
          <w:p>
            <w:pPr>
              <w:spacing w:before="40" w:after="40"/>
            </w:pPr>
            <w:r>
              <w:rPr>
                <w:b/>
                <w:color w:val="123A63"/>
                <w:sz w:val="19"/>
              </w:rPr>
              <w:t xml:space="preserve">ICU   </w:t>
            </w:r>
            <w:r>
              <w:rPr>
                <w:color w:val="64748B"/>
                <w:sz w:val="19"/>
              </w:rPr>
              <w:t>intensive care unit</w:t>
            </w:r>
          </w:p>
        </w:tc>
        <w:tc>
          <w:tcPr>
            <w:tcW w:type="dxa" w:w="4876"/>
          </w:tcPr>
          <w:p>
            <w:pPr>
              <w:spacing w:before="40" w:after="40"/>
            </w:pPr>
            <w:r>
              <w:rPr>
                <w:b/>
                <w:color w:val="123A63"/>
                <w:sz w:val="19"/>
              </w:rPr>
              <w:t xml:space="preserve">BIC   </w:t>
            </w:r>
            <w:r>
              <w:rPr>
                <w:color w:val="64748B"/>
                <w:sz w:val="19"/>
              </w:rPr>
              <w:t>business intelligence centrum</w:t>
            </w:r>
          </w:p>
        </w:tc>
      </w:tr>
      <w:tr>
        <w:tc>
          <w:tcPr>
            <w:tcW w:type="dxa" w:w="4876"/>
          </w:tcPr>
          <w:p>
            <w:pPr>
              <w:spacing w:before="40" w:after="40"/>
            </w:pPr>
            <w:r>
              <w:rPr>
                <w:b/>
                <w:color w:val="123A63"/>
                <w:sz w:val="19"/>
              </w:rPr>
              <w:t xml:space="preserve">CCU   </w:t>
            </w:r>
            <w:r>
              <w:rPr>
                <w:color w:val="64748B"/>
                <w:sz w:val="19"/>
              </w:rPr>
              <w:t>coronary care unit</w:t>
            </w:r>
          </w:p>
        </w:tc>
        <w:tc>
          <w:tcPr>
            <w:tcW w:type="dxa" w:w="4876"/>
          </w:tcPr>
          <w:p>
            <w:pPr>
              <w:spacing w:before="40" w:after="40"/>
            </w:pPr>
            <w:r>
              <w:rPr>
                <w:b/>
                <w:color w:val="123A63"/>
                <w:sz w:val="19"/>
              </w:rPr>
              <w:t xml:space="preserve">D / T / L / N   </w:t>
            </w:r>
            <w:r>
              <w:rPr>
                <w:color w:val="64748B"/>
                <w:sz w:val="19"/>
              </w:rPr>
              <w:t>dag-, tussen-, laat- en nachtdienst</w:t>
            </w:r>
          </w:p>
        </w:tc>
      </w:tr>
      <w:tr>
        <w:tc>
          <w:tcPr>
            <w:tcW w:type="dxa" w:w="4876"/>
          </w:tcPr>
          <w:p>
            <w:pPr>
              <w:spacing w:before="40" w:after="40"/>
            </w:pPr>
            <w:r>
              <w:rPr>
                <w:b/>
                <w:color w:val="123A63"/>
                <w:sz w:val="19"/>
              </w:rPr>
              <w:t xml:space="preserve">SCU   </w:t>
            </w:r>
            <w:r>
              <w:rPr>
                <w:color w:val="64748B"/>
                <w:sz w:val="19"/>
              </w:rPr>
              <w:t>stroke care unit</w:t>
            </w:r>
          </w:p>
        </w:tc>
        <w:tc>
          <w:tcPr>
            <w:tcW w:type="dxa" w:w="4876"/>
          </w:tcPr>
          <w:p>
            <w:pPr>
              <w:spacing w:before="40" w:after="40"/>
            </w:pPr>
            <w:r>
              <w:rPr>
                <w:b/>
                <w:color w:val="123A63"/>
                <w:sz w:val="19"/>
              </w:rPr>
              <w:t xml:space="preserve">EPA   </w:t>
            </w:r>
            <w:r>
              <w:rPr>
                <w:color w:val="64748B"/>
                <w:sz w:val="19"/>
              </w:rPr>
              <w:t>entrustable professional activity</w:t>
            </w:r>
          </w:p>
        </w:tc>
      </w:tr>
    </w:tbl>
    <w:p>
      <w:r>
        <w:br w:type="page"/>
      </w:r>
    </w:p>
    <w:p>
      <w:pPr>
        <w:pStyle w:val="Heading1"/>
        <w:spacing w:before="80" w:after="40"/>
      </w:pPr>
      <w:r>
        <w:rPr>
          <w:rFonts w:ascii="Calibri" w:hAnsi="Calibri"/>
          <w:color w:val="123A63"/>
          <w:sz w:val="38"/>
        </w:rPr>
        <w:t>1.  Startsituatie per afdeling</w:t>
      </w:r>
    </w:p>
    <w:p>
      <w:pPr>
        <w:pBdr>
          <w:bottom w:val="single" w:sz="4" w:space="4" w:color="D8E0EA"/>
        </w:pBdr>
        <w:spacing w:before="0" w:after="80" w:line="312" w:lineRule="auto"/>
      </w:pPr>
      <w:r>
        <w:rPr>
          <w:b w:val="0"/>
          <w:i w:val="0"/>
          <w:color w:val="64748B"/>
          <w:sz w:val="22"/>
        </w:rPr>
        <w:t>Voordat er gerekend kan worden moet per afdeling vastliggen wat de norm is. Op dit moment ligt die voor geen enkele afdeling vast.</w:t>
      </w:r>
    </w:p>
    <w:p>
      <w:pPr>
        <w:spacing w:before="80" w:after="120"/>
        <w:jc w:val="center"/>
      </w:pPr>
      <w:r>
        <w:drawing>
          <wp:inline xmlns:a="http://schemas.openxmlformats.org/drawingml/2006/main" xmlns:pic="http://schemas.openxmlformats.org/drawingml/2006/picture">
            <wp:extent cx="6192000" cy="3980571"/>
            <wp:docPr id="1" name="Picture 1"/>
            <wp:cNvGraphicFramePr>
              <a:graphicFrameLocks noChangeAspect="1"/>
            </wp:cNvGraphicFramePr>
            <a:graphic>
              <a:graphicData uri="http://schemas.openxmlformats.org/drawingml/2006/picture">
                <pic:pic>
                  <pic:nvPicPr>
                    <pic:cNvPr id="0" name="fig_01_startsituatie.png"/>
                    <pic:cNvPicPr/>
                  </pic:nvPicPr>
                  <pic:blipFill>
                    <a:blip r:embed="rId10"/>
                    <a:stretch>
                      <a:fillRect/>
                    </a:stretch>
                  </pic:blipFill>
                  <pic:spPr>
                    <a:xfrm>
                      <a:off x="0" y="0"/>
                      <a:ext cx="6192000" cy="3980571"/>
                    </a:xfrm>
                    <a:prstGeom prst="rect"/>
                  </pic:spPr>
                </pic:pic>
              </a:graphicData>
            </a:graphic>
          </wp:inline>
        </w:drawing>
      </w:r>
    </w:p>
    <w:tbl>
      <w:tblPr>
        <w:tblW w:type="auto" w:w="0"/>
        <w:jc w:val="center"/>
        <w:tblBorders>
          <w:top w:val="single" w:sz="6" w:space="0" w:color="C4392D"/>
          <w:left w:val="single" w:sz="6" w:space="0" w:color="C4392D"/>
          <w:bottom w:val="single" w:sz="6" w:space="0" w:color="C4392D"/>
          <w:right w:val="single" w:sz="6" w:space="0" w:color="C4392D"/>
          <w:insideH w:val="none" w:sz="6" w:space="0" w:color="C4392D"/>
          <w:insideV w:val="none" w:sz="6" w:space="0" w:color="C4392D"/>
        </w:tblBorders>
        <w:tblCellMar>
          <w:top w:w="60" w:type="dxa"/>
          <w:left w:w="120" w:type="dxa"/>
          <w:bottom w:w="60" w:type="dxa"/>
          <w:right w:w="120" w:type="dxa"/>
        </w:tblCellMar>
        <w:tblLook w:firstColumn="1" w:firstRow="1" w:lastColumn="0" w:lastRow="0" w:noHBand="0" w:noVBand="1" w:val="04A0"/>
      </w:tblPr>
      <w:tblGrid>
        <w:gridCol w:w="9752"/>
      </w:tblGrid>
      <w:tr>
        <w:tc>
          <w:tcPr>
            <w:tcW w:type="dxa" w:w="9751"/>
            <w:shd w:val="clear" w:color="auto" w:fill="FBEDEB"/>
          </w:tcPr>
          <w:p>
            <w:pPr>
              <w:spacing w:after="40"/>
            </w:pPr>
            <w:r>
              <w:rPr>
                <w:b/>
                <w:color w:val="C4392D"/>
                <w:sz w:val="16"/>
              </w:rPr>
              <w:t>LET OP BIJ DE AANTALLEN</w:t>
            </w:r>
          </w:p>
          <w:p>
            <w:pPr>
              <w:spacing w:after="0" w:line="300" w:lineRule="auto"/>
            </w:pPr>
            <w:r>
              <w:rPr>
                <w:color w:val="0F1B2D"/>
                <w:sz w:val="21"/>
              </w:rPr>
              <w:t>10 en 15 zijn de kamers die ICU en CCU/SCU/EHH nu hebben. Het zijn verschillende kamers voor verschillende specialismen, dus ze zijn niet bij elkaar op te tellen. De berekeningen zijn per specialisme apart gemaakt, op de huidige gescheiden situatie; in de nieuwbouwscenario's waarin afdelingen samengaan moet opnieuw geteld worden. Bij de SEH is niet af te lezen of er een jaarplan ligt, en bij kind spoed ontbreken de gegevens vrijwel helemaal.</w:t>
            </w:r>
          </w:p>
        </w:tc>
      </w:tr>
    </w:tbl>
    <w:p>
      <w:pPr>
        <w:spacing w:after="40"/>
      </w:pPr>
    </w:p>
    <w:p>
      <w:r>
        <w:br w:type="page"/>
      </w:r>
    </w:p>
    <w:p>
      <w:pPr>
        <w:pStyle w:val="Heading1"/>
        <w:spacing w:before="80" w:after="40"/>
      </w:pPr>
      <w:r>
        <w:rPr>
          <w:rFonts w:ascii="Calibri" w:hAnsi="Calibri"/>
          <w:color w:val="6B4BA8"/>
          <w:sz w:val="38"/>
        </w:rPr>
        <w:t>2.  Tijdpad</w:t>
      </w:r>
    </w:p>
    <w:p>
      <w:pPr>
        <w:pBdr>
          <w:bottom w:val="single" w:sz="4" w:space="4" w:color="D8E0EA"/>
        </w:pBdr>
        <w:spacing w:before="0" w:after="80" w:line="312" w:lineRule="auto"/>
      </w:pPr>
      <w:r>
        <w:rPr>
          <w:b w:val="0"/>
          <w:i w:val="0"/>
          <w:color w:val="64748B"/>
          <w:sz w:val="22"/>
        </w:rPr>
        <w:t>Het rekenwerk start in september 2026. Van oktober 2026 tot en met mei 2027 werken de afdelingen in de oudbouw; in juni 2027 wordt er verhuisd.</w:t>
      </w:r>
    </w:p>
    <w:p>
      <w:pPr>
        <w:spacing w:before="80" w:after="120"/>
        <w:jc w:val="center"/>
      </w:pPr>
      <w:r>
        <w:drawing>
          <wp:inline xmlns:a="http://schemas.openxmlformats.org/drawingml/2006/main" xmlns:pic="http://schemas.openxmlformats.org/drawingml/2006/picture">
            <wp:extent cx="6192000" cy="3096000"/>
            <wp:docPr id="2" name="Picture 2"/>
            <wp:cNvGraphicFramePr>
              <a:graphicFrameLocks noChangeAspect="1"/>
            </wp:cNvGraphicFramePr>
            <a:graphic>
              <a:graphicData uri="http://schemas.openxmlformats.org/drawingml/2006/picture">
                <pic:pic>
                  <pic:nvPicPr>
                    <pic:cNvPr id="0" name="fig_02_tijdpad.png"/>
                    <pic:cNvPicPr/>
                  </pic:nvPicPr>
                  <pic:blipFill>
                    <a:blip r:embed="rId11"/>
                    <a:stretch>
                      <a:fillRect/>
                    </a:stretch>
                  </pic:blipFill>
                  <pic:spPr>
                    <a:xfrm>
                      <a:off x="0" y="0"/>
                      <a:ext cx="6192000" cy="3096000"/>
                    </a:xfrm>
                    <a:prstGeom prst="rect"/>
                  </pic:spPr>
                </pic:pic>
              </a:graphicData>
            </a:graphic>
          </wp:inline>
        </w:drawing>
      </w:r>
    </w:p>
    <w:p>
      <w:r>
        <w:br w:type="page"/>
      </w:r>
    </w:p>
    <w:p>
      <w:pPr>
        <w:pStyle w:val="Heading1"/>
        <w:spacing w:before="80" w:after="40"/>
      </w:pPr>
      <w:r>
        <w:rPr>
          <w:rFonts w:ascii="Calibri" w:hAnsi="Calibri"/>
          <w:color w:val="6B4BA8"/>
          <w:sz w:val="38"/>
        </w:rPr>
        <w:t>3.  Berekeningen</w:t>
      </w:r>
    </w:p>
    <w:p>
      <w:pPr>
        <w:pBdr>
          <w:bottom w:val="single" w:sz="4" w:space="4" w:color="D8E0EA"/>
        </w:pBdr>
        <w:spacing w:before="0" w:after="80" w:line="312" w:lineRule="auto"/>
      </w:pPr>
      <w:r>
        <w:rPr>
          <w:b w:val="0"/>
          <w:i w:val="0"/>
          <w:color w:val="64748B"/>
          <w:sz w:val="22"/>
        </w:rPr>
        <w:t>De berekening bestaat uit drie onderdelen. Het aantal bedden wordt bepaald op basis van patientaanwezigheid, per afdeling uitgesplitst naar stroom.</w:t>
      </w:r>
    </w:p>
    <w:p>
      <w:pPr>
        <w:spacing w:before="80" w:after="120"/>
        <w:jc w:val="center"/>
      </w:pPr>
      <w:r>
        <w:drawing>
          <wp:inline xmlns:a="http://schemas.openxmlformats.org/drawingml/2006/main" xmlns:pic="http://schemas.openxmlformats.org/drawingml/2006/picture">
            <wp:extent cx="6192000" cy="4157486"/>
            <wp:docPr id="3" name="Picture 3"/>
            <wp:cNvGraphicFramePr>
              <a:graphicFrameLocks noChangeAspect="1"/>
            </wp:cNvGraphicFramePr>
            <a:graphic>
              <a:graphicData uri="http://schemas.openxmlformats.org/drawingml/2006/picture">
                <pic:pic>
                  <pic:nvPicPr>
                    <pic:cNvPr id="0" name="fig_03_berekeningen.png"/>
                    <pic:cNvPicPr/>
                  </pic:nvPicPr>
                  <pic:blipFill>
                    <a:blip r:embed="rId12"/>
                    <a:stretch>
                      <a:fillRect/>
                    </a:stretch>
                  </pic:blipFill>
                  <pic:spPr>
                    <a:xfrm>
                      <a:off x="0" y="0"/>
                      <a:ext cx="6192000" cy="4157486"/>
                    </a:xfrm>
                    <a:prstGeom prst="rect"/>
                  </pic:spPr>
                </pic:pic>
              </a:graphicData>
            </a:graphic>
          </wp:inline>
        </w:drawing>
      </w:r>
    </w:p>
    <w:p>
      <w:r>
        <w:br w:type="page"/>
      </w:r>
    </w:p>
    <w:p>
      <w:pPr>
        <w:pStyle w:val="Heading1"/>
        <w:spacing w:before="80" w:after="40"/>
      </w:pPr>
      <w:r>
        <w:rPr>
          <w:rFonts w:ascii="Calibri" w:hAnsi="Calibri"/>
          <w:color w:val="1F6FB2"/>
          <w:sz w:val="38"/>
        </w:rPr>
        <w:t>4.  Van vier locaties naar twee clusters</w:t>
      </w:r>
    </w:p>
    <w:p>
      <w:pPr>
        <w:pBdr>
          <w:bottom w:val="single" w:sz="4" w:space="4" w:color="D8E0EA"/>
        </w:pBdr>
        <w:spacing w:before="0" w:after="80" w:line="312" w:lineRule="auto"/>
      </w:pPr>
      <w:r>
        <w:rPr>
          <w:b w:val="0"/>
          <w:i w:val="0"/>
          <w:color w:val="64748B"/>
          <w:sz w:val="22"/>
        </w:rPr>
        <w:t>De acute en intensieve zorg ligt nu op vier plaatsen in het gebouw en gaat naar twee clusters: de acute poort en de Hotfloor.</w:t>
      </w:r>
    </w:p>
    <w:p>
      <w:pPr>
        <w:spacing w:before="80" w:after="120"/>
        <w:jc w:val="center"/>
      </w:pPr>
      <w:r>
        <w:drawing>
          <wp:inline xmlns:a="http://schemas.openxmlformats.org/drawingml/2006/main" xmlns:pic="http://schemas.openxmlformats.org/drawingml/2006/picture">
            <wp:extent cx="6192000" cy="4334400"/>
            <wp:docPr id="4" name="Picture 4"/>
            <wp:cNvGraphicFramePr>
              <a:graphicFrameLocks noChangeAspect="1"/>
            </wp:cNvGraphicFramePr>
            <a:graphic>
              <a:graphicData uri="http://schemas.openxmlformats.org/drawingml/2006/picture">
                <pic:pic>
                  <pic:nvPicPr>
                    <pic:cNvPr id="0" name="fig_04_oudnieuw.png"/>
                    <pic:cNvPicPr/>
                  </pic:nvPicPr>
                  <pic:blipFill>
                    <a:blip r:embed="rId13"/>
                    <a:stretch>
                      <a:fillRect/>
                    </a:stretch>
                  </pic:blipFill>
                  <pic:spPr>
                    <a:xfrm>
                      <a:off x="0" y="0"/>
                      <a:ext cx="6192000" cy="4334400"/>
                    </a:xfrm>
                    <a:prstGeom prst="rect"/>
                  </pic:spPr>
                </pic:pic>
              </a:graphicData>
            </a:graphic>
          </wp:inline>
        </w:drawing>
      </w:r>
    </w:p>
    <w:p>
      <w:r>
        <w:br w:type="page"/>
      </w:r>
    </w:p>
    <w:p>
      <w:pPr>
        <w:pStyle w:val="Heading1"/>
        <w:spacing w:before="80" w:after="40"/>
      </w:pPr>
      <w:r>
        <w:rPr>
          <w:rFonts w:ascii="Calibri" w:hAnsi="Calibri"/>
          <w:color w:val="0E9A87"/>
          <w:sz w:val="38"/>
        </w:rPr>
        <w:t>5.  De nieuwbouw fysiek</w:t>
      </w:r>
    </w:p>
    <w:p>
      <w:pPr>
        <w:pBdr>
          <w:bottom w:val="single" w:sz="4" w:space="4" w:color="D8E0EA"/>
        </w:pBdr>
        <w:spacing w:before="0" w:after="80" w:line="312" w:lineRule="auto"/>
      </w:pPr>
      <w:r>
        <w:rPr>
          <w:b w:val="0"/>
          <w:i w:val="0"/>
          <w:color w:val="64748B"/>
          <w:sz w:val="22"/>
        </w:rPr>
        <w:t>Van de nieuwbouw staat alleen het aantal bedden op de Hotfloor vast. Voor de SEH en de EHH is het aantal plekken nog niet bepaald.</w:t>
      </w:r>
    </w:p>
    <w:p>
      <w:pPr>
        <w:spacing w:before="80" w:after="120"/>
        <w:jc w:val="center"/>
      </w:pPr>
      <w:r>
        <w:drawing>
          <wp:inline xmlns:a="http://schemas.openxmlformats.org/drawingml/2006/main" xmlns:pic="http://schemas.openxmlformats.org/drawingml/2006/picture">
            <wp:extent cx="6192000" cy="3980571"/>
            <wp:docPr id="5" name="Picture 5"/>
            <wp:cNvGraphicFramePr>
              <a:graphicFrameLocks noChangeAspect="1"/>
            </wp:cNvGraphicFramePr>
            <a:graphic>
              <a:graphicData uri="http://schemas.openxmlformats.org/drawingml/2006/picture">
                <pic:pic>
                  <pic:nvPicPr>
                    <pic:cNvPr id="0" name="fig_05_nieuwbouw.png"/>
                    <pic:cNvPicPr/>
                  </pic:nvPicPr>
                  <pic:blipFill>
                    <a:blip r:embed="rId14"/>
                    <a:stretch>
                      <a:fillRect/>
                    </a:stretch>
                  </pic:blipFill>
                  <pic:spPr>
                    <a:xfrm>
                      <a:off x="0" y="0"/>
                      <a:ext cx="6192000" cy="3980571"/>
                    </a:xfrm>
                    <a:prstGeom prst="rect"/>
                  </pic:spPr>
                </pic:pic>
              </a:graphicData>
            </a:graphic>
          </wp:inline>
        </w:drawing>
      </w:r>
    </w:p>
    <w:p>
      <w:r>
        <w:br w:type="page"/>
      </w:r>
    </w:p>
    <w:p>
      <w:pPr>
        <w:pStyle w:val="Heading1"/>
        <w:spacing w:before="80" w:after="40"/>
      </w:pPr>
      <w:r>
        <w:rPr>
          <w:rFonts w:ascii="Calibri" w:hAnsi="Calibri"/>
          <w:color w:val="1F6FB2"/>
          <w:sz w:val="38"/>
        </w:rPr>
        <w:t>6.  Vijf scenario's</w:t>
      </w:r>
    </w:p>
    <w:p>
      <w:pPr>
        <w:pBdr>
          <w:bottom w:val="single" w:sz="4" w:space="4" w:color="D8E0EA"/>
        </w:pBdr>
        <w:spacing w:before="0" w:after="80" w:line="312" w:lineRule="auto"/>
      </w:pPr>
      <w:r>
        <w:rPr>
          <w:b w:val="0"/>
          <w:i w:val="0"/>
          <w:color w:val="64748B"/>
          <w:sz w:val="22"/>
        </w:rPr>
        <w:t>Er liggen vijf mogelijke varianten. Elke variant verandert zowel de fysieke capaciteit als de personele inzet.</w:t>
      </w:r>
    </w:p>
    <w:p>
      <w:pPr>
        <w:spacing w:before="80" w:after="120"/>
        <w:jc w:val="center"/>
      </w:pPr>
      <w:r>
        <w:drawing>
          <wp:inline xmlns:a="http://schemas.openxmlformats.org/drawingml/2006/main" xmlns:pic="http://schemas.openxmlformats.org/drawingml/2006/picture">
            <wp:extent cx="6192000" cy="4467086"/>
            <wp:docPr id="6" name="Picture 6"/>
            <wp:cNvGraphicFramePr>
              <a:graphicFrameLocks noChangeAspect="1"/>
            </wp:cNvGraphicFramePr>
            <a:graphic>
              <a:graphicData uri="http://schemas.openxmlformats.org/drawingml/2006/picture">
                <pic:pic>
                  <pic:nvPicPr>
                    <pic:cNvPr id="0" name="fig_06_scenarios.png"/>
                    <pic:cNvPicPr/>
                  </pic:nvPicPr>
                  <pic:blipFill>
                    <a:blip r:embed="rId15"/>
                    <a:stretch>
                      <a:fillRect/>
                    </a:stretch>
                  </pic:blipFill>
                  <pic:spPr>
                    <a:xfrm>
                      <a:off x="0" y="0"/>
                      <a:ext cx="6192000" cy="4467086"/>
                    </a:xfrm>
                    <a:prstGeom prst="rect"/>
                  </pic:spPr>
                </pic:pic>
              </a:graphicData>
            </a:graphic>
          </wp:inline>
        </w:drawing>
      </w:r>
    </w:p>
    <w:p>
      <w:r>
        <w:br w:type="page"/>
      </w:r>
    </w:p>
    <w:p>
      <w:pPr>
        <w:pStyle w:val="Heading1"/>
        <w:spacing w:before="80" w:after="40"/>
      </w:pPr>
      <w:r>
        <w:rPr>
          <w:rFonts w:ascii="Calibri" w:hAnsi="Calibri"/>
          <w:color w:val="6B4BA8"/>
          <w:sz w:val="38"/>
        </w:rPr>
        <w:t>7.  Van scenario naar rooster</w:t>
      </w:r>
    </w:p>
    <w:p>
      <w:pPr>
        <w:pBdr>
          <w:bottom w:val="single" w:sz="4" w:space="4" w:color="D8E0EA"/>
        </w:pBdr>
        <w:spacing w:before="0" w:after="80" w:line="312" w:lineRule="auto"/>
      </w:pPr>
      <w:r>
        <w:rPr>
          <w:b w:val="0"/>
          <w:i w:val="0"/>
          <w:color w:val="64748B"/>
          <w:sz w:val="22"/>
        </w:rPr>
        <w:t>Zodra de keuze gemaakt is, ligt de route naar het rooster vast: van week- en dagplan via de roostersleutels naar de planning en de monitoring.</w:t>
      </w:r>
    </w:p>
    <w:p>
      <w:pPr>
        <w:spacing w:before="80" w:after="120"/>
        <w:jc w:val="center"/>
      </w:pPr>
      <w:r>
        <w:drawing>
          <wp:inline xmlns:a="http://schemas.openxmlformats.org/drawingml/2006/main" xmlns:pic="http://schemas.openxmlformats.org/drawingml/2006/picture">
            <wp:extent cx="6192000" cy="4688229"/>
            <wp:docPr id="7" name="Picture 7"/>
            <wp:cNvGraphicFramePr>
              <a:graphicFrameLocks noChangeAspect="1"/>
            </wp:cNvGraphicFramePr>
            <a:graphic>
              <a:graphicData uri="http://schemas.openxmlformats.org/drawingml/2006/picture">
                <pic:pic>
                  <pic:nvPicPr>
                    <pic:cNvPr id="0" name="fig_07_stappenplan.png"/>
                    <pic:cNvPicPr/>
                  </pic:nvPicPr>
                  <pic:blipFill>
                    <a:blip r:embed="rId16"/>
                    <a:stretch>
                      <a:fillRect/>
                    </a:stretch>
                  </pic:blipFill>
                  <pic:spPr>
                    <a:xfrm>
                      <a:off x="0" y="0"/>
                      <a:ext cx="6192000" cy="4688229"/>
                    </a:xfrm>
                    <a:prstGeom prst="rect"/>
                  </pic:spPr>
                </pic:pic>
              </a:graphicData>
            </a:graphic>
          </wp:inline>
        </w:drawing>
      </w:r>
    </w:p>
    <w:p>
      <w:r>
        <w:br w:type="page"/>
      </w:r>
    </w:p>
    <w:p>
      <w:pPr>
        <w:pStyle w:val="Heading1"/>
        <w:spacing w:before="80" w:after="40"/>
      </w:pPr>
      <w:r>
        <w:rPr>
          <w:rFonts w:ascii="Calibri" w:hAnsi="Calibri"/>
          <w:color w:val="1F6FB2"/>
          <w:sz w:val="38"/>
        </w:rPr>
        <w:t>8.  Analyse 1: de acute poort</w:t>
      </w:r>
    </w:p>
    <w:p>
      <w:pPr>
        <w:pBdr>
          <w:bottom w:val="single" w:sz="4" w:space="4" w:color="D8E0EA"/>
        </w:pBdr>
        <w:spacing w:before="0" w:after="80" w:line="312" w:lineRule="auto"/>
      </w:pPr>
      <w:r>
        <w:rPr>
          <w:b w:val="0"/>
          <w:i w:val="0"/>
          <w:color w:val="64748B"/>
          <w:sz w:val="22"/>
        </w:rPr>
        <w:t>De analyse is gedaan en gedeeld. De uitkomst is dat een acute poort voor kind, EHH en SEH samen niet past.</w:t>
      </w:r>
    </w:p>
    <w:p>
      <w:pPr>
        <w:spacing w:before="80" w:after="120"/>
        <w:jc w:val="center"/>
      </w:pPr>
      <w:r>
        <w:drawing>
          <wp:inline xmlns:a="http://schemas.openxmlformats.org/drawingml/2006/main" xmlns:pic="http://schemas.openxmlformats.org/drawingml/2006/picture">
            <wp:extent cx="6192000" cy="4422857"/>
            <wp:docPr id="8" name="Picture 8"/>
            <wp:cNvGraphicFramePr>
              <a:graphicFrameLocks noChangeAspect="1"/>
            </wp:cNvGraphicFramePr>
            <a:graphic>
              <a:graphicData uri="http://schemas.openxmlformats.org/drawingml/2006/picture">
                <pic:pic>
                  <pic:nvPicPr>
                    <pic:cNvPr id="0" name="fig_08_acutepoort.png"/>
                    <pic:cNvPicPr/>
                  </pic:nvPicPr>
                  <pic:blipFill>
                    <a:blip r:embed="rId17"/>
                    <a:stretch>
                      <a:fillRect/>
                    </a:stretch>
                  </pic:blipFill>
                  <pic:spPr>
                    <a:xfrm>
                      <a:off x="0" y="0"/>
                      <a:ext cx="6192000" cy="4422857"/>
                    </a:xfrm>
                    <a:prstGeom prst="rect"/>
                  </pic:spPr>
                </pic:pic>
              </a:graphicData>
            </a:graphic>
          </wp:inline>
        </w:drawing>
      </w:r>
    </w:p>
    <w:p>
      <w:r>
        <w:br w:type="page"/>
      </w:r>
    </w:p>
    <w:p>
      <w:pPr>
        <w:pStyle w:val="Heading1"/>
        <w:spacing w:before="80" w:after="40"/>
      </w:pPr>
      <w:r>
        <w:rPr>
          <w:rFonts w:ascii="Calibri" w:hAnsi="Calibri"/>
          <w:color w:val="0E9A87"/>
          <w:sz w:val="38"/>
        </w:rPr>
        <w:t>9.  Analyse 2: de Hotfloor</w:t>
      </w:r>
    </w:p>
    <w:p>
      <w:pPr>
        <w:pBdr>
          <w:bottom w:val="single" w:sz="4" w:space="4" w:color="D8E0EA"/>
        </w:pBdr>
        <w:spacing w:before="0" w:after="80" w:line="312" w:lineRule="auto"/>
      </w:pPr>
      <w:r>
        <w:rPr>
          <w:b w:val="0"/>
          <w:i w:val="0"/>
          <w:color w:val="64748B"/>
          <w:sz w:val="22"/>
        </w:rPr>
        <w:t>De Hotfloor past wel op zestien bedden. Twee punten staan nog open, en de EHH-vraag raakt beide wijzigingen.</w:t>
      </w:r>
    </w:p>
    <w:p>
      <w:pPr>
        <w:spacing w:before="80" w:after="120"/>
        <w:jc w:val="center"/>
      </w:pPr>
      <w:r>
        <w:drawing>
          <wp:inline xmlns:a="http://schemas.openxmlformats.org/drawingml/2006/main" xmlns:pic="http://schemas.openxmlformats.org/drawingml/2006/picture">
            <wp:extent cx="6192000" cy="4334400"/>
            <wp:docPr id="9" name="Picture 9"/>
            <wp:cNvGraphicFramePr>
              <a:graphicFrameLocks noChangeAspect="1"/>
            </wp:cNvGraphicFramePr>
            <a:graphic>
              <a:graphicData uri="http://schemas.openxmlformats.org/drawingml/2006/picture">
                <pic:pic>
                  <pic:nvPicPr>
                    <pic:cNvPr id="0" name="fig_09_hotfloor.png"/>
                    <pic:cNvPicPr/>
                  </pic:nvPicPr>
                  <pic:blipFill>
                    <a:blip r:embed="rId18"/>
                    <a:stretch>
                      <a:fillRect/>
                    </a:stretch>
                  </pic:blipFill>
                  <pic:spPr>
                    <a:xfrm>
                      <a:off x="0" y="0"/>
                      <a:ext cx="6192000" cy="4334400"/>
                    </a:xfrm>
                    <a:prstGeom prst="rect"/>
                  </pic:spPr>
                </pic:pic>
              </a:graphicData>
            </a:graphic>
          </wp:inline>
        </w:drawing>
      </w:r>
    </w:p>
    <w:p>
      <w:r>
        <w:br w:type="page"/>
      </w:r>
    </w:p>
    <w:p>
      <w:pPr>
        <w:pStyle w:val="Heading1"/>
        <w:spacing w:before="80" w:after="40"/>
      </w:pPr>
      <w:r>
        <w:rPr>
          <w:rFonts w:ascii="Calibri" w:hAnsi="Calibri"/>
          <w:color w:val="123A63"/>
          <w:sz w:val="38"/>
        </w:rPr>
        <w:t>10.  Wat weten we per situatie?</w:t>
      </w:r>
    </w:p>
    <w:p>
      <w:pPr>
        <w:pBdr>
          <w:bottom w:val="single" w:sz="4" w:space="4" w:color="D8E0EA"/>
        </w:pBdr>
        <w:spacing w:before="0" w:after="80" w:line="312" w:lineRule="auto"/>
      </w:pPr>
      <w:r>
        <w:rPr>
          <w:b w:val="0"/>
          <w:i w:val="0"/>
          <w:color w:val="64748B"/>
          <w:sz w:val="22"/>
        </w:rPr>
        <w:t>Per situatie is in beeld gebracht wat er bekend is over de fysieke planning en over de personele inzet.</w:t>
      </w:r>
    </w:p>
    <w:p>
      <w:pPr>
        <w:spacing w:before="80" w:after="120"/>
        <w:jc w:val="center"/>
      </w:pPr>
      <w:r>
        <w:drawing>
          <wp:inline xmlns:a="http://schemas.openxmlformats.org/drawingml/2006/main" xmlns:pic="http://schemas.openxmlformats.org/drawingml/2006/picture">
            <wp:extent cx="6192000" cy="4157486"/>
            <wp:docPr id="10" name="Picture 10"/>
            <wp:cNvGraphicFramePr>
              <a:graphicFrameLocks noChangeAspect="1"/>
            </wp:cNvGraphicFramePr>
            <a:graphic>
              <a:graphicData uri="http://schemas.openxmlformats.org/drawingml/2006/picture">
                <pic:pic>
                  <pic:nvPicPr>
                    <pic:cNvPr id="0" name="fig_10_matrix.png"/>
                    <pic:cNvPicPr/>
                  </pic:nvPicPr>
                  <pic:blipFill>
                    <a:blip r:embed="rId19"/>
                    <a:stretch>
                      <a:fillRect/>
                    </a:stretch>
                  </pic:blipFill>
                  <pic:spPr>
                    <a:xfrm>
                      <a:off x="0" y="0"/>
                      <a:ext cx="6192000" cy="4157486"/>
                    </a:xfrm>
                    <a:prstGeom prst="rect"/>
                  </pic:spPr>
                </pic:pic>
              </a:graphicData>
            </a:graphic>
          </wp:inline>
        </w:drawing>
      </w:r>
    </w:p>
    <w:p>
      <w:r>
        <w:br w:type="page"/>
      </w:r>
    </w:p>
    <w:p>
      <w:pPr>
        <w:pStyle w:val="Heading1"/>
        <w:spacing w:before="80" w:after="40"/>
      </w:pPr>
      <w:r>
        <w:rPr>
          <w:rFonts w:ascii="Calibri" w:hAnsi="Calibri"/>
          <w:color w:val="DE8A1B"/>
          <w:sz w:val="38"/>
        </w:rPr>
        <w:t>11.  De vragen van Lonneke en Maxim</w:t>
      </w:r>
    </w:p>
    <w:p>
      <w:pPr>
        <w:pBdr>
          <w:bottom w:val="single" w:sz="4" w:space="4" w:color="D8E0EA"/>
        </w:pBdr>
        <w:spacing w:before="0" w:after="80" w:line="312" w:lineRule="auto"/>
      </w:pPr>
      <w:r>
        <w:rPr>
          <w:b w:val="0"/>
          <w:i w:val="0"/>
          <w:color w:val="64748B"/>
          <w:sz w:val="22"/>
        </w:rPr>
        <w:t>Zesendertig vragen en knelpunten, gegroepeerd naar het moment waarop ze beantwoord moeten worden.</w:t>
      </w:r>
    </w:p>
    <w:p>
      <w:pPr>
        <w:spacing w:before="80" w:after="120"/>
        <w:jc w:val="center"/>
      </w:pPr>
      <w:r>
        <w:drawing>
          <wp:inline xmlns:a="http://schemas.openxmlformats.org/drawingml/2006/main" xmlns:pic="http://schemas.openxmlformats.org/drawingml/2006/picture">
            <wp:extent cx="6192000" cy="3892114"/>
            <wp:docPr id="11" name="Picture 11"/>
            <wp:cNvGraphicFramePr>
              <a:graphicFrameLocks noChangeAspect="1"/>
            </wp:cNvGraphicFramePr>
            <a:graphic>
              <a:graphicData uri="http://schemas.openxmlformats.org/drawingml/2006/picture">
                <pic:pic>
                  <pic:nvPicPr>
                    <pic:cNvPr id="0" name="fig_11_vragenoverzicht.png"/>
                    <pic:cNvPicPr/>
                  </pic:nvPicPr>
                  <pic:blipFill>
                    <a:blip r:embed="rId20"/>
                    <a:stretch>
                      <a:fillRect/>
                    </a:stretch>
                  </pic:blipFill>
                  <pic:spPr>
                    <a:xfrm>
                      <a:off x="0" y="0"/>
                      <a:ext cx="6192000" cy="3892114"/>
                    </a:xfrm>
                    <a:prstGeom prst="rect"/>
                  </pic:spPr>
                </pic:pic>
              </a:graphicData>
            </a:graphic>
          </wp:inline>
        </w:drawing>
      </w:r>
    </w:p>
    <w:p>
      <w:r>
        <w:br w:type="page"/>
      </w:r>
    </w:p>
    <w:p>
      <w:pPr>
        <w:pStyle w:val="Heading2"/>
        <w:spacing w:before="280" w:after="80"/>
      </w:pPr>
      <w:r>
        <w:rPr>
          <w:rFonts w:ascii="Calibri" w:hAnsi="Calibri"/>
          <w:color w:val="1F6FB2"/>
          <w:sz w:val="25"/>
        </w:rPr>
        <w:t>11.1  Uitgangspunten: oudbouw en transitie</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1F6FB2"/>
          </w:tcPr>
          <w:p>
            <w:pPr>
              <w:spacing w:before="20" w:after="20"/>
            </w:pPr>
            <w:r>
              <w:rPr>
                <w:b/>
                <w:color w:val="FFFFFF"/>
                <w:sz w:val="18"/>
              </w:rPr>
              <w:t>OUDBOUW EN TRANSITIE</w:t>
            </w:r>
          </w:p>
        </w:tc>
      </w:tr>
      <w:tr>
        <w:tc>
          <w:tcPr>
            <w:tcW w:type="dxa" w:w="567"/>
          </w:tcPr>
          <w:p>
            <w:pPr>
              <w:spacing w:before="40" w:after="40"/>
              <w:jc w:val="center"/>
            </w:pPr>
            <w:r>
              <w:rPr>
                <w:b/>
                <w:color w:val="1F6FB2"/>
                <w:sz w:val="18"/>
              </w:rPr>
              <w:t>1</w:t>
            </w:r>
          </w:p>
        </w:tc>
        <w:tc>
          <w:tcPr>
            <w:tcW w:type="dxa" w:w="9184"/>
          </w:tcPr>
          <w:p>
            <w:pPr>
              <w:spacing w:before="40" w:after="40" w:line="276" w:lineRule="auto"/>
            </w:pPr>
            <w:r>
              <w:rPr>
                <w:color w:val="0F1B2D"/>
                <w:sz w:val="19"/>
              </w:rPr>
              <w:t>Wat moeten we meenemen uit lopende projecten, of wordt dit later doorgevoerd in de begroting en het jaarplan?</w:t>
            </w:r>
          </w:p>
        </w:tc>
      </w:tr>
      <w:tr>
        <w:tc>
          <w:tcPr>
            <w:tcW w:type="dxa" w:w="567"/>
            <w:shd w:val="clear" w:color="auto" w:fill="F4F7FB"/>
          </w:tcPr>
          <w:p>
            <w:pPr>
              <w:spacing w:before="40" w:after="40"/>
              <w:jc w:val="center"/>
            </w:pPr>
            <w:r>
              <w:rPr>
                <w:b/>
                <w:color w:val="1F6FB2"/>
                <w:sz w:val="18"/>
              </w:rPr>
              <w:t>2</w:t>
            </w:r>
          </w:p>
        </w:tc>
        <w:tc>
          <w:tcPr>
            <w:tcW w:type="dxa" w:w="9184"/>
            <w:shd w:val="clear" w:color="auto" w:fill="F4F7FB"/>
          </w:tcPr>
          <w:p>
            <w:pPr>
              <w:spacing w:before="40" w:after="40" w:line="276" w:lineRule="auto"/>
            </w:pPr>
            <w:r>
              <w:rPr>
                <w:color w:val="0F1B2D"/>
                <w:sz w:val="19"/>
              </w:rPr>
              <w:t>Hoe werken de afdelingen nu al toe naar de nieuwbouwsituatie, en welke impact heeft dat op bedden en personeel?</w:t>
            </w:r>
          </w:p>
        </w:tc>
      </w:tr>
      <w:tr>
        <w:tc>
          <w:tcPr>
            <w:tcW w:type="dxa" w:w="567"/>
          </w:tcPr>
          <w:p>
            <w:pPr>
              <w:spacing w:before="40" w:after="40"/>
              <w:jc w:val="center"/>
            </w:pPr>
            <w:r>
              <w:rPr>
                <w:b/>
                <w:color w:val="1F6FB2"/>
                <w:sz w:val="18"/>
              </w:rPr>
              <w:t>3</w:t>
            </w:r>
          </w:p>
        </w:tc>
        <w:tc>
          <w:tcPr>
            <w:tcW w:type="dxa" w:w="9184"/>
          </w:tcPr>
          <w:p>
            <w:pPr>
              <w:spacing w:before="40" w:after="40" w:line="276" w:lineRule="auto"/>
            </w:pPr>
            <w:r>
              <w:rPr>
                <w:color w:val="0F1B2D"/>
                <w:sz w:val="19"/>
              </w:rPr>
              <w:t>Kunnen we de huidige personele inzet van de SEH aanhouden tot de nieuwbouw, exclusief eventuele extra inzet voor de nieuwbouw?</w:t>
            </w:r>
          </w:p>
        </w:tc>
      </w:tr>
      <w:tr>
        <w:tc>
          <w:tcPr>
            <w:tcW w:type="dxa" w:w="567"/>
            <w:shd w:val="clear" w:color="auto" w:fill="F4F7FB"/>
          </w:tcPr>
          <w:p>
            <w:pPr>
              <w:spacing w:before="40" w:after="40"/>
              <w:jc w:val="center"/>
            </w:pPr>
            <w:r>
              <w:rPr>
                <w:b/>
                <w:color w:val="1F6FB2"/>
                <w:sz w:val="18"/>
              </w:rPr>
              <w:t>4</w:t>
            </w:r>
          </w:p>
        </w:tc>
        <w:tc>
          <w:tcPr>
            <w:tcW w:type="dxa" w:w="9184"/>
            <w:shd w:val="clear" w:color="auto" w:fill="F4F7FB"/>
          </w:tcPr>
          <w:p>
            <w:pPr>
              <w:spacing w:before="40" w:after="40" w:line="276" w:lineRule="auto"/>
            </w:pPr>
            <w:r>
              <w:rPr>
                <w:color w:val="0F1B2D"/>
                <w:sz w:val="19"/>
              </w:rPr>
              <w:t>De bedbezetting is in het weekend lager dan doordeweeks; formatie daarop aanpassen komt neer op 5-5-4. In de oudbouw geen aanpassing, alleen toewerken naar de nieuwbouw: motiveren en dubbel opleiden.</w:t>
            </w:r>
          </w:p>
        </w:tc>
      </w:tr>
      <w:tr>
        <w:tc>
          <w:tcPr>
            <w:tcW w:type="dxa" w:w="567"/>
          </w:tcPr>
          <w:p>
            <w:pPr>
              <w:spacing w:before="40" w:after="40"/>
              <w:jc w:val="center"/>
            </w:pPr>
            <w:r>
              <w:rPr>
                <w:b/>
                <w:color w:val="1F6FB2"/>
                <w:sz w:val="18"/>
              </w:rPr>
              <w:t>5</w:t>
            </w:r>
          </w:p>
        </w:tc>
        <w:tc>
          <w:tcPr>
            <w:tcW w:type="dxa" w:w="9184"/>
          </w:tcPr>
          <w:p>
            <w:pPr>
              <w:spacing w:before="40" w:after="40" w:line="276" w:lineRule="auto"/>
            </w:pPr>
            <w:r>
              <w:rPr>
                <w:color w:val="0F1B2D"/>
                <w:sz w:val="19"/>
              </w:rPr>
              <w:t>Voor de ICU houden we de landelijke norm aan, maar daar zit bij ons ook recovery in. Welke normering hanteren we? (Geparkeerd voor later.)</w:t>
            </w:r>
          </w:p>
        </w:tc>
      </w:tr>
      <w:tr>
        <w:tc>
          <w:tcPr>
            <w:tcW w:type="dxa" w:w="567"/>
            <w:shd w:val="clear" w:color="auto" w:fill="F4F7FB"/>
          </w:tcPr>
          <w:p>
            <w:pPr>
              <w:spacing w:before="40" w:after="40"/>
              <w:jc w:val="center"/>
            </w:pPr>
            <w:r>
              <w:rPr>
                <w:b/>
                <w:color w:val="1F6FB2"/>
                <w:sz w:val="18"/>
              </w:rPr>
              <w:t>6</w:t>
            </w:r>
          </w:p>
        </w:tc>
        <w:tc>
          <w:tcPr>
            <w:tcW w:type="dxa" w:w="9184"/>
            <w:shd w:val="clear" w:color="auto" w:fill="F4F7FB"/>
          </w:tcPr>
          <w:p>
            <w:pPr>
              <w:spacing w:before="40" w:after="40" w:line="276" w:lineRule="auto"/>
            </w:pPr>
            <w:r>
              <w:rPr>
                <w:color w:val="0F1B2D"/>
                <w:sz w:val="19"/>
              </w:rPr>
              <w:t>Wat is het uitgangspunt voor de AO-dienst? Bij drukte inzet in de zorg; negen van de tien keer blijf je buiten de zorg.</w:t>
            </w:r>
          </w:p>
        </w:tc>
      </w:tr>
      <w:tr>
        <w:tc>
          <w:tcPr>
            <w:tcW w:type="dxa" w:w="567"/>
          </w:tcPr>
          <w:p>
            <w:pPr>
              <w:spacing w:before="40" w:after="40"/>
              <w:jc w:val="center"/>
            </w:pPr>
            <w:r>
              <w:rPr>
                <w:b/>
                <w:color w:val="1F6FB2"/>
                <w:sz w:val="18"/>
              </w:rPr>
              <w:t>7</w:t>
            </w:r>
          </w:p>
        </w:tc>
        <w:tc>
          <w:tcPr>
            <w:tcW w:type="dxa" w:w="9184"/>
          </w:tcPr>
          <w:p>
            <w:pPr>
              <w:spacing w:before="40" w:after="40" w:line="276" w:lineRule="auto"/>
            </w:pPr>
            <w:r>
              <w:rPr>
                <w:color w:val="0F1B2D"/>
                <w:sz w:val="19"/>
              </w:rPr>
              <w:t>Per september start de regieverpleegkundige. Wat betekent dat voor de personele inzet en voor de indirecte uren, en staat die functie binnen of buiten de zorg?</w:t>
            </w:r>
          </w:p>
        </w:tc>
      </w:tr>
    </w:tbl>
    <w:p>
      <w:pPr>
        <w:spacing w:after="80"/>
      </w:pPr>
    </w:p>
    <w:p>
      <w:pPr>
        <w:pStyle w:val="Heading2"/>
        <w:spacing w:before="280" w:after="80"/>
      </w:pPr>
      <w:r>
        <w:rPr>
          <w:rFonts w:ascii="Calibri" w:hAnsi="Calibri"/>
          <w:color w:val="DE8A1B"/>
          <w:sz w:val="25"/>
        </w:rPr>
        <w:t>11.2  Uitgangspunten: verhuisperiode</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DE8A1B"/>
          </w:tcPr>
          <w:p>
            <w:pPr>
              <w:spacing w:before="20" w:after="20"/>
            </w:pPr>
            <w:r>
              <w:rPr>
                <w:b/>
                <w:color w:val="FFFFFF"/>
                <w:sz w:val="18"/>
              </w:rPr>
              <w:t>VERHUISPERIODE</w:t>
            </w:r>
          </w:p>
        </w:tc>
      </w:tr>
      <w:tr>
        <w:tc>
          <w:tcPr>
            <w:tcW w:type="dxa" w:w="567"/>
          </w:tcPr>
          <w:p>
            <w:pPr>
              <w:spacing w:before="40" w:after="40"/>
              <w:jc w:val="center"/>
            </w:pPr>
            <w:r>
              <w:rPr>
                <w:b/>
                <w:color w:val="DE8A1B"/>
                <w:sz w:val="18"/>
              </w:rPr>
              <w:t>1</w:t>
            </w:r>
          </w:p>
        </w:tc>
        <w:tc>
          <w:tcPr>
            <w:tcW w:type="dxa" w:w="9184"/>
          </w:tcPr>
          <w:p>
            <w:pPr>
              <w:spacing w:before="40" w:after="40" w:line="276" w:lineRule="auto"/>
            </w:pPr>
            <w:r>
              <w:rPr>
                <w:color w:val="0F1B2D"/>
                <w:sz w:val="19"/>
              </w:rPr>
              <w:t>Welke extra diensten zijn er nodig tijdens de verhuisperiode ten opzichte van de oudbouw, en op welke locatie worden die ingezet?</w:t>
            </w:r>
          </w:p>
        </w:tc>
      </w:tr>
    </w:tbl>
    <w:p>
      <w:pPr>
        <w:spacing w:after="80"/>
      </w:pPr>
    </w:p>
    <w:p>
      <w:r>
        <w:br w:type="page"/>
      </w:r>
    </w:p>
    <w:p>
      <w:pPr>
        <w:pStyle w:val="Heading2"/>
        <w:spacing w:before="280" w:after="80"/>
      </w:pPr>
      <w:r>
        <w:rPr>
          <w:rFonts w:ascii="Calibri" w:hAnsi="Calibri"/>
          <w:color w:val="0E9A87"/>
          <w:sz w:val="25"/>
        </w:rPr>
        <w:t>11.3  Uitgangspunten: nieuwbouw</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0E9A87"/>
          </w:tcPr>
          <w:p>
            <w:pPr>
              <w:spacing w:before="20" w:after="20"/>
            </w:pPr>
            <w:r>
              <w:rPr>
                <w:b/>
                <w:color w:val="FFFFFF"/>
                <w:sz w:val="18"/>
              </w:rPr>
              <w:t>NIEUWBOUW</w:t>
            </w:r>
          </w:p>
        </w:tc>
      </w:tr>
      <w:tr>
        <w:tc>
          <w:tcPr>
            <w:tcW w:type="dxa" w:w="567"/>
          </w:tcPr>
          <w:p>
            <w:pPr>
              <w:spacing w:before="40" w:after="40"/>
              <w:jc w:val="center"/>
            </w:pPr>
            <w:r>
              <w:rPr>
                <w:b/>
                <w:color w:val="0E9A87"/>
                <w:sz w:val="18"/>
              </w:rPr>
              <w:t>1</w:t>
            </w:r>
          </w:p>
        </w:tc>
        <w:tc>
          <w:tcPr>
            <w:tcW w:type="dxa" w:w="9184"/>
          </w:tcPr>
          <w:p>
            <w:pPr>
              <w:spacing w:before="40" w:after="40" w:line="276" w:lineRule="auto"/>
            </w:pPr>
            <w:r>
              <w:rPr>
                <w:color w:val="0F1B2D"/>
                <w:sz w:val="19"/>
              </w:rPr>
              <w:t>Waar komt de personele inzet op de EHH vandaan: van de SEH of van de ICU/CCU?</w:t>
            </w:r>
          </w:p>
        </w:tc>
      </w:tr>
      <w:tr>
        <w:tc>
          <w:tcPr>
            <w:tcW w:type="dxa" w:w="567"/>
            <w:shd w:val="clear" w:color="auto" w:fill="F4F7FB"/>
          </w:tcPr>
          <w:p>
            <w:pPr>
              <w:spacing w:before="40" w:after="40"/>
              <w:jc w:val="center"/>
            </w:pPr>
            <w:r>
              <w:rPr>
                <w:b/>
                <w:color w:val="0E9A87"/>
                <w:sz w:val="18"/>
              </w:rPr>
              <w:t>2</w:t>
            </w:r>
          </w:p>
        </w:tc>
        <w:tc>
          <w:tcPr>
            <w:tcW w:type="dxa" w:w="9184"/>
            <w:shd w:val="clear" w:color="auto" w:fill="F4F7FB"/>
          </w:tcPr>
          <w:p>
            <w:pPr>
              <w:spacing w:before="40" w:after="40" w:line="276" w:lineRule="auto"/>
            </w:pPr>
            <w:r>
              <w:rPr>
                <w:color w:val="0F1B2D"/>
                <w:sz w:val="19"/>
              </w:rPr>
              <w:t>Dat wordt bepaald door het afkapmoment van de acute cardiologiepatient van SEH naar EHH/CCU. In de berekeningen is uitgegaan van inzet vanaf de CCU en een afkapmoment op 2 uur; nu wordt gekeken naar scenario's op 4, 6 en 24 uur waarbij de EHH-bedden bij de SEH zijn meegenomen.</w:t>
            </w:r>
          </w:p>
        </w:tc>
      </w:tr>
      <w:tr>
        <w:tc>
          <w:tcPr>
            <w:tcW w:type="dxa" w:w="567"/>
          </w:tcPr>
          <w:p>
            <w:pPr>
              <w:spacing w:before="40" w:after="40"/>
              <w:jc w:val="center"/>
            </w:pPr>
            <w:r>
              <w:rPr>
                <w:b/>
                <w:color w:val="0E9A87"/>
                <w:sz w:val="18"/>
              </w:rPr>
              <w:t>3</w:t>
            </w:r>
          </w:p>
        </w:tc>
        <w:tc>
          <w:tcPr>
            <w:tcW w:type="dxa" w:w="9184"/>
          </w:tcPr>
          <w:p>
            <w:pPr>
              <w:spacing w:before="40" w:after="40" w:line="276" w:lineRule="auto"/>
            </w:pPr>
            <w:r>
              <w:rPr>
                <w:color w:val="0F1B2D"/>
                <w:sz w:val="19"/>
              </w:rPr>
              <w:t>Doet Remco een uitspraak over de verpleegkundige norm, of houden we de huidige normen aan en leggen we die aan hem voor?</w:t>
            </w:r>
          </w:p>
        </w:tc>
      </w:tr>
      <w:tr>
        <w:tc>
          <w:tcPr>
            <w:tcW w:type="dxa" w:w="567"/>
            <w:shd w:val="clear" w:color="auto" w:fill="F4F7FB"/>
          </w:tcPr>
          <w:p>
            <w:pPr>
              <w:spacing w:before="40" w:after="40"/>
              <w:jc w:val="center"/>
            </w:pPr>
            <w:r>
              <w:rPr>
                <w:b/>
                <w:color w:val="0E9A87"/>
                <w:sz w:val="18"/>
              </w:rPr>
              <w:t>4</w:t>
            </w:r>
          </w:p>
        </w:tc>
        <w:tc>
          <w:tcPr>
            <w:tcW w:type="dxa" w:w="9184"/>
            <w:shd w:val="clear" w:color="auto" w:fill="F4F7FB"/>
          </w:tcPr>
          <w:p>
            <w:pPr>
              <w:spacing w:before="40" w:after="40" w:line="276" w:lineRule="auto"/>
            </w:pPr>
            <w:r>
              <w:rPr>
                <w:color w:val="0F1B2D"/>
                <w:sz w:val="19"/>
              </w:rPr>
              <w:t>In de nieuwbouw wordt de scope (CCU) anders ingericht. Hoe verwerken we dat in de personele inzet? Nu is er een extra dienst overdag en extra belasting in de late en de nachtdienst.</w:t>
            </w:r>
          </w:p>
        </w:tc>
      </w:tr>
      <w:tr>
        <w:tc>
          <w:tcPr>
            <w:tcW w:type="dxa" w:w="567"/>
          </w:tcPr>
          <w:p>
            <w:pPr>
              <w:spacing w:before="40" w:after="40"/>
              <w:jc w:val="center"/>
            </w:pPr>
            <w:r>
              <w:rPr>
                <w:b/>
                <w:color w:val="0E9A87"/>
                <w:sz w:val="18"/>
              </w:rPr>
              <w:t>5</w:t>
            </w:r>
          </w:p>
        </w:tc>
        <w:tc>
          <w:tcPr>
            <w:tcW w:type="dxa" w:w="9184"/>
          </w:tcPr>
          <w:p>
            <w:pPr>
              <w:spacing w:before="40" w:after="40" w:line="276" w:lineRule="auto"/>
            </w:pPr>
            <w:r>
              <w:rPr>
                <w:color w:val="0F1B2D"/>
                <w:sz w:val="19"/>
              </w:rPr>
              <w:t>De ICU heeft een normenkader waarbij maximaal 10% afgeweken mag worden van dedicated inzet van ICU-verpleegkundigen.</w:t>
            </w:r>
          </w:p>
        </w:tc>
      </w:tr>
      <w:tr>
        <w:tc>
          <w:tcPr>
            <w:tcW w:type="dxa" w:w="567"/>
            <w:shd w:val="clear" w:color="auto" w:fill="F4F7FB"/>
          </w:tcPr>
          <w:p>
            <w:pPr>
              <w:spacing w:before="40" w:after="40"/>
              <w:jc w:val="center"/>
            </w:pPr>
            <w:r>
              <w:rPr>
                <w:b/>
                <w:color w:val="0E9A87"/>
                <w:sz w:val="18"/>
              </w:rPr>
              <w:t>6</w:t>
            </w:r>
          </w:p>
        </w:tc>
        <w:tc>
          <w:tcPr>
            <w:tcW w:type="dxa" w:w="9184"/>
            <w:shd w:val="clear" w:color="auto" w:fill="F4F7FB"/>
          </w:tcPr>
          <w:p>
            <w:pPr>
              <w:spacing w:before="40" w:after="40" w:line="276" w:lineRule="auto"/>
            </w:pPr>
            <w:r>
              <w:rPr>
                <w:color w:val="0F1B2D"/>
                <w:sz w:val="19"/>
              </w:rPr>
              <w:t>Is er al nagedacht over de personele inzet op de SEH? Kunnen we het patroon opplussen op basis van de extra bedden, en van hoeveel bedden gaan we uit?</w:t>
            </w:r>
          </w:p>
        </w:tc>
      </w:tr>
      <w:tr>
        <w:tc>
          <w:tcPr>
            <w:tcW w:type="dxa" w:w="567"/>
          </w:tcPr>
          <w:p>
            <w:pPr>
              <w:spacing w:before="40" w:after="40"/>
              <w:jc w:val="center"/>
            </w:pPr>
            <w:r>
              <w:rPr>
                <w:b/>
                <w:color w:val="0E9A87"/>
                <w:sz w:val="18"/>
              </w:rPr>
              <w:t>7</w:t>
            </w:r>
          </w:p>
        </w:tc>
        <w:tc>
          <w:tcPr>
            <w:tcW w:type="dxa" w:w="9184"/>
          </w:tcPr>
          <w:p>
            <w:pPr>
              <w:spacing w:before="40" w:after="40" w:line="276" w:lineRule="auto"/>
            </w:pPr>
            <w:r>
              <w:rPr>
                <w:color w:val="0F1B2D"/>
                <w:sz w:val="19"/>
              </w:rPr>
              <w:t>Indirecte uren: de oude begroting loopt sterk uiteen. Wat houden we aan, en verlaagt de regieverpleegkundige dit per september?</w:t>
            </w:r>
          </w:p>
        </w:tc>
      </w:tr>
      <w:tr>
        <w:tc>
          <w:tcPr>
            <w:tcW w:type="dxa" w:w="567"/>
            <w:shd w:val="clear" w:color="auto" w:fill="F4F7FB"/>
          </w:tcPr>
          <w:p>
            <w:pPr>
              <w:spacing w:before="40" w:after="40"/>
              <w:jc w:val="center"/>
            </w:pPr>
            <w:r>
              <w:rPr>
                <w:b/>
                <w:color w:val="0E9A87"/>
                <w:sz w:val="18"/>
              </w:rPr>
              <w:t>8</w:t>
            </w:r>
          </w:p>
        </w:tc>
        <w:tc>
          <w:tcPr>
            <w:tcW w:type="dxa" w:w="9184"/>
            <w:shd w:val="clear" w:color="auto" w:fill="F4F7FB"/>
          </w:tcPr>
          <w:p>
            <w:pPr>
              <w:spacing w:before="40" w:after="40" w:line="276" w:lineRule="auto"/>
            </w:pPr>
            <w:r>
              <w:rPr>
                <w:color w:val="0F1B2D"/>
                <w:sz w:val="19"/>
              </w:rPr>
              <w:t>Hoe richten we de inzet van de regieverpleegkundige in de nieuwbouw in?</w:t>
            </w:r>
          </w:p>
        </w:tc>
      </w:tr>
      <w:tr>
        <w:tc>
          <w:tcPr>
            <w:tcW w:type="dxa" w:w="567"/>
          </w:tcPr>
          <w:p>
            <w:pPr>
              <w:spacing w:before="40" w:after="40"/>
              <w:jc w:val="center"/>
            </w:pPr>
            <w:r>
              <w:rPr>
                <w:b/>
                <w:color w:val="0E9A87"/>
                <w:sz w:val="18"/>
              </w:rPr>
              <w:t>9</w:t>
            </w:r>
          </w:p>
        </w:tc>
        <w:tc>
          <w:tcPr>
            <w:tcW w:type="dxa" w:w="9184"/>
          </w:tcPr>
          <w:p>
            <w:pPr>
              <w:spacing w:before="40" w:after="40" w:line="276" w:lineRule="auto"/>
            </w:pPr>
            <w:r>
              <w:rPr>
                <w:color w:val="0F1B2D"/>
                <w:sz w:val="19"/>
              </w:rPr>
              <w:t>Komt de kinderverpleegkundige dedicated op de SEH, of op afroep?</w:t>
            </w:r>
          </w:p>
        </w:tc>
      </w:tr>
      <w:tr>
        <w:tc>
          <w:tcPr>
            <w:tcW w:type="dxa" w:w="567"/>
            <w:shd w:val="clear" w:color="auto" w:fill="F4F7FB"/>
          </w:tcPr>
          <w:p>
            <w:pPr>
              <w:spacing w:before="40" w:after="40"/>
              <w:jc w:val="center"/>
            </w:pPr>
            <w:r>
              <w:rPr>
                <w:b/>
                <w:color w:val="0E9A87"/>
                <w:sz w:val="18"/>
              </w:rPr>
              <w:t>10</w:t>
            </w:r>
          </w:p>
        </w:tc>
        <w:tc>
          <w:tcPr>
            <w:tcW w:type="dxa" w:w="9184"/>
            <w:shd w:val="clear" w:color="auto" w:fill="F4F7FB"/>
          </w:tcPr>
          <w:p>
            <w:pPr>
              <w:spacing w:before="40" w:after="40" w:line="276" w:lineRule="auto"/>
            </w:pPr>
            <w:r>
              <w:rPr>
                <w:color w:val="0F1B2D"/>
                <w:sz w:val="19"/>
              </w:rPr>
              <w:t>Hoe staat het met de EPA's? Zijn er vereisten voor SEH-verpleegkundigen, en zijn er verplichte EPA's voor ICU en CCU?</w:t>
            </w:r>
          </w:p>
        </w:tc>
      </w:tr>
      <w:tr>
        <w:tc>
          <w:tcPr>
            <w:tcW w:type="dxa" w:w="567"/>
          </w:tcPr>
          <w:p>
            <w:pPr>
              <w:spacing w:before="40" w:after="40"/>
              <w:jc w:val="center"/>
            </w:pPr>
            <w:r>
              <w:rPr>
                <w:b/>
                <w:color w:val="0E9A87"/>
                <w:sz w:val="18"/>
              </w:rPr>
              <w:t>11</w:t>
            </w:r>
          </w:p>
        </w:tc>
        <w:tc>
          <w:tcPr>
            <w:tcW w:type="dxa" w:w="9184"/>
          </w:tcPr>
          <w:p>
            <w:pPr>
              <w:spacing w:before="40" w:after="40" w:line="276" w:lineRule="auto"/>
            </w:pPr>
            <w:r>
              <w:rPr>
                <w:color w:val="0F1B2D"/>
                <w:sz w:val="19"/>
              </w:rPr>
              <w:t>Als die EPA's er zijn, wat betekent dat dan in de praktijk?</w:t>
            </w:r>
          </w:p>
        </w:tc>
      </w:tr>
      <w:tr>
        <w:tc>
          <w:tcPr>
            <w:tcW w:type="dxa" w:w="567"/>
            <w:shd w:val="clear" w:color="auto" w:fill="F4F7FB"/>
          </w:tcPr>
          <w:p>
            <w:pPr>
              <w:spacing w:before="40" w:after="40"/>
              <w:jc w:val="center"/>
            </w:pPr>
            <w:r>
              <w:rPr>
                <w:b/>
                <w:color w:val="0E9A87"/>
                <w:sz w:val="18"/>
              </w:rPr>
              <w:t>12</w:t>
            </w:r>
          </w:p>
        </w:tc>
        <w:tc>
          <w:tcPr>
            <w:tcW w:type="dxa" w:w="9184"/>
            <w:shd w:val="clear" w:color="auto" w:fill="F4F7FB"/>
          </w:tcPr>
          <w:p>
            <w:pPr>
              <w:spacing w:before="40" w:after="40" w:line="276" w:lineRule="auto"/>
            </w:pPr>
            <w:r>
              <w:rPr>
                <w:color w:val="0F1B2D"/>
                <w:sz w:val="19"/>
              </w:rPr>
              <w:t>Zetten we voor de nieuwbouw nog in op een acute poule voor CCU/ICU en CCU/SEH? Nu is dat alleen ICU/SEH.</w:t>
            </w:r>
          </w:p>
        </w:tc>
      </w:tr>
    </w:tbl>
    <w:p>
      <w:pPr>
        <w:spacing w:after="80"/>
      </w:pPr>
    </w:p>
    <w:p>
      <w:r>
        <w:br w:type="page"/>
      </w:r>
    </w:p>
    <w:p>
      <w:pPr>
        <w:pStyle w:val="Heading2"/>
        <w:spacing w:before="280" w:after="80"/>
      </w:pPr>
      <w:r>
        <w:rPr>
          <w:rFonts w:ascii="Calibri" w:hAnsi="Calibri"/>
          <w:color w:val="C4392D"/>
          <w:sz w:val="25"/>
        </w:rPr>
        <w:t>11.4  Knelpunten</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C4392D"/>
          </w:tcPr>
          <w:p>
            <w:pPr>
              <w:spacing w:before="20" w:after="20"/>
            </w:pPr>
            <w:r>
              <w:rPr>
                <w:b/>
                <w:color w:val="FFFFFF"/>
                <w:sz w:val="18"/>
              </w:rPr>
              <w:t>KNELPUNTEN</w:t>
            </w:r>
          </w:p>
        </w:tc>
      </w:tr>
      <w:tr>
        <w:tc>
          <w:tcPr>
            <w:tcW w:type="dxa" w:w="567"/>
          </w:tcPr>
          <w:p>
            <w:pPr>
              <w:spacing w:before="40" w:after="40"/>
              <w:jc w:val="center"/>
            </w:pPr>
            <w:r>
              <w:rPr>
                <w:b/>
                <w:color w:val="C4392D"/>
                <w:sz w:val="18"/>
              </w:rPr>
              <w:t>1</w:t>
            </w:r>
          </w:p>
        </w:tc>
        <w:tc>
          <w:tcPr>
            <w:tcW w:type="dxa" w:w="9184"/>
          </w:tcPr>
          <w:p>
            <w:pPr>
              <w:spacing w:before="40" w:after="40" w:line="276" w:lineRule="auto"/>
            </w:pPr>
            <w:r>
              <w:rPr>
                <w:color w:val="0F1B2D"/>
                <w:sz w:val="19"/>
              </w:rPr>
              <w:t>Verpleegkundige norm: aanbodgericht werken in plaats van vraaggestuurd.</w:t>
            </w:r>
          </w:p>
        </w:tc>
      </w:tr>
      <w:tr>
        <w:tc>
          <w:tcPr>
            <w:tcW w:type="dxa" w:w="567"/>
            <w:shd w:val="clear" w:color="auto" w:fill="F4F7FB"/>
          </w:tcPr>
          <w:p>
            <w:pPr>
              <w:spacing w:before="40" w:after="40"/>
              <w:jc w:val="center"/>
            </w:pPr>
            <w:r>
              <w:rPr>
                <w:b/>
                <w:color w:val="C4392D"/>
                <w:sz w:val="18"/>
              </w:rPr>
              <w:t>2</w:t>
            </w:r>
          </w:p>
        </w:tc>
        <w:tc>
          <w:tcPr>
            <w:tcW w:type="dxa" w:w="9184"/>
            <w:shd w:val="clear" w:color="auto" w:fill="F4F7FB"/>
          </w:tcPr>
          <w:p>
            <w:pPr>
              <w:spacing w:before="40" w:after="40" w:line="276" w:lineRule="auto"/>
            </w:pPr>
            <w:r>
              <w:rPr>
                <w:color w:val="0F1B2D"/>
                <w:sz w:val="19"/>
              </w:rPr>
              <w:t>SEH-artsen: de inzet is verhoogd maar de begroting is niet aangepast.</w:t>
            </w:r>
          </w:p>
        </w:tc>
      </w:tr>
      <w:tr>
        <w:tc>
          <w:tcPr>
            <w:tcW w:type="dxa" w:w="567"/>
          </w:tcPr>
          <w:p>
            <w:pPr>
              <w:spacing w:before="40" w:after="40"/>
              <w:jc w:val="center"/>
            </w:pPr>
            <w:r>
              <w:rPr>
                <w:b/>
                <w:color w:val="C4392D"/>
                <w:sz w:val="18"/>
              </w:rPr>
              <w:t>3</w:t>
            </w:r>
          </w:p>
        </w:tc>
        <w:tc>
          <w:tcPr>
            <w:tcW w:type="dxa" w:w="9184"/>
          </w:tcPr>
          <w:p>
            <w:pPr>
              <w:spacing w:before="40" w:after="40" w:line="276" w:lineRule="auto"/>
            </w:pPr>
            <w:r>
              <w:rPr>
                <w:color w:val="0F1B2D"/>
                <w:sz w:val="19"/>
              </w:rPr>
              <w:t>Acute poort: wat komt waar, en wat kunnen wij doorrekenen?</w:t>
            </w:r>
          </w:p>
        </w:tc>
      </w:tr>
      <w:tr>
        <w:tc>
          <w:tcPr>
            <w:tcW w:type="dxa" w:w="567"/>
            <w:shd w:val="clear" w:color="auto" w:fill="F4F7FB"/>
          </w:tcPr>
          <w:p>
            <w:pPr>
              <w:spacing w:before="40" w:after="40"/>
              <w:jc w:val="center"/>
            </w:pPr>
            <w:r>
              <w:rPr>
                <w:b/>
                <w:color w:val="C4392D"/>
                <w:sz w:val="18"/>
              </w:rPr>
              <w:t>4</w:t>
            </w:r>
          </w:p>
        </w:tc>
        <w:tc>
          <w:tcPr>
            <w:tcW w:type="dxa" w:w="9184"/>
            <w:shd w:val="clear" w:color="auto" w:fill="F4F7FB"/>
          </w:tcPr>
          <w:p>
            <w:pPr>
              <w:spacing w:before="40" w:after="40" w:line="276" w:lineRule="auto"/>
            </w:pPr>
            <w:r>
              <w:rPr>
                <w:color w:val="0F1B2D"/>
                <w:sz w:val="19"/>
              </w:rPr>
              <w:t>ICU en CCU wijken structureel af van het jaarplan BIC.</w:t>
            </w:r>
          </w:p>
        </w:tc>
      </w:tr>
      <w:tr>
        <w:tc>
          <w:tcPr>
            <w:tcW w:type="dxa" w:w="567"/>
          </w:tcPr>
          <w:p>
            <w:pPr>
              <w:spacing w:before="40" w:after="40"/>
              <w:jc w:val="center"/>
            </w:pPr>
            <w:r>
              <w:rPr>
                <w:b/>
                <w:color w:val="C4392D"/>
                <w:sz w:val="18"/>
              </w:rPr>
              <w:t>5</w:t>
            </w:r>
          </w:p>
        </w:tc>
        <w:tc>
          <w:tcPr>
            <w:tcW w:type="dxa" w:w="9184"/>
          </w:tcPr>
          <w:p>
            <w:pPr>
              <w:spacing w:before="40" w:after="40" w:line="276" w:lineRule="auto"/>
            </w:pPr>
            <w:r>
              <w:rPr>
                <w:color w:val="0F1B2D"/>
                <w:sz w:val="19"/>
              </w:rPr>
              <w:t>De personele planning loopt niet volledig via CPP, met name rond de acute poule.</w:t>
            </w:r>
          </w:p>
        </w:tc>
      </w:tr>
      <w:tr>
        <w:tc>
          <w:tcPr>
            <w:tcW w:type="dxa" w:w="567"/>
            <w:shd w:val="clear" w:color="auto" w:fill="F4F7FB"/>
          </w:tcPr>
          <w:p>
            <w:pPr>
              <w:spacing w:before="40" w:after="40"/>
              <w:jc w:val="center"/>
            </w:pPr>
            <w:r>
              <w:rPr>
                <w:b/>
                <w:color w:val="C4392D"/>
                <w:sz w:val="18"/>
              </w:rPr>
              <w:t>6</w:t>
            </w:r>
          </w:p>
        </w:tc>
        <w:tc>
          <w:tcPr>
            <w:tcW w:type="dxa" w:w="9184"/>
            <w:shd w:val="clear" w:color="auto" w:fill="F4F7FB"/>
          </w:tcPr>
          <w:p>
            <w:pPr>
              <w:spacing w:before="40" w:after="40" w:line="276" w:lineRule="auto"/>
            </w:pPr>
            <w:r>
              <w:rPr>
                <w:color w:val="0F1B2D"/>
                <w:sz w:val="19"/>
              </w:rPr>
              <w:t>Indirecte uren.</w:t>
            </w:r>
          </w:p>
        </w:tc>
      </w:tr>
      <w:tr>
        <w:tc>
          <w:tcPr>
            <w:tcW w:type="dxa" w:w="567"/>
          </w:tcPr>
          <w:p>
            <w:pPr>
              <w:spacing w:before="40" w:after="40"/>
              <w:jc w:val="center"/>
            </w:pPr>
            <w:r>
              <w:rPr>
                <w:b/>
                <w:color w:val="C4392D"/>
                <w:sz w:val="18"/>
              </w:rPr>
              <w:t>7</w:t>
            </w:r>
          </w:p>
        </w:tc>
        <w:tc>
          <w:tcPr>
            <w:tcW w:type="dxa" w:w="9184"/>
          </w:tcPr>
          <w:p>
            <w:pPr>
              <w:spacing w:before="40" w:after="40" w:line="276" w:lineRule="auto"/>
            </w:pPr>
            <w:r>
              <w:rPr>
                <w:color w:val="0F1B2D"/>
                <w:sz w:val="19"/>
              </w:rPr>
              <w:t>Uitgangspunten en kaders ontbreken.</w:t>
            </w:r>
          </w:p>
        </w:tc>
      </w:tr>
      <w:tr>
        <w:tc>
          <w:tcPr>
            <w:tcW w:type="dxa" w:w="567"/>
            <w:shd w:val="clear" w:color="auto" w:fill="F4F7FB"/>
          </w:tcPr>
          <w:p>
            <w:pPr>
              <w:spacing w:before="40" w:after="40"/>
              <w:jc w:val="center"/>
            </w:pPr>
            <w:r>
              <w:rPr>
                <w:b/>
                <w:color w:val="C4392D"/>
                <w:sz w:val="18"/>
              </w:rPr>
              <w:t>8</w:t>
            </w:r>
          </w:p>
        </w:tc>
        <w:tc>
          <w:tcPr>
            <w:tcW w:type="dxa" w:w="9184"/>
            <w:shd w:val="clear" w:color="auto" w:fill="F4F7FB"/>
          </w:tcPr>
          <w:p>
            <w:pPr>
              <w:spacing w:before="40" w:after="40" w:line="276" w:lineRule="auto"/>
            </w:pPr>
            <w:r>
              <w:rPr>
                <w:color w:val="0F1B2D"/>
                <w:sz w:val="19"/>
              </w:rPr>
              <w:t>Vakantiegoedkeuringen niet integraal en te ruim vrijgegeven, met name bij de CCU. Actie: samen met Remco een vakantiegoedkeuring opstellen; hij noemde 20 tot 25%.</w:t>
            </w:r>
          </w:p>
        </w:tc>
      </w:tr>
      <w:tr>
        <w:tc>
          <w:tcPr>
            <w:tcW w:type="dxa" w:w="567"/>
          </w:tcPr>
          <w:p>
            <w:pPr>
              <w:spacing w:before="40" w:after="40"/>
              <w:jc w:val="center"/>
            </w:pPr>
            <w:r>
              <w:rPr>
                <w:b/>
                <w:color w:val="C4392D"/>
                <w:sz w:val="18"/>
              </w:rPr>
              <w:t>9</w:t>
            </w:r>
          </w:p>
        </w:tc>
        <w:tc>
          <w:tcPr>
            <w:tcW w:type="dxa" w:w="9184"/>
          </w:tcPr>
          <w:p>
            <w:pPr>
              <w:spacing w:before="40" w:after="40" w:line="276" w:lineRule="auto"/>
            </w:pPr>
            <w:r>
              <w:rPr>
                <w:color w:val="0F1B2D"/>
                <w:sz w:val="19"/>
              </w:rPr>
              <w:t>Slapers op de SEH.</w:t>
            </w:r>
          </w:p>
        </w:tc>
      </w:tr>
    </w:tbl>
    <w:p>
      <w:pPr>
        <w:spacing w:after="80"/>
      </w:pPr>
    </w:p>
    <w:tbl>
      <w:tblPr>
        <w:tblW w:type="auto" w:w="0"/>
        <w:jc w:val="center"/>
        <w:tblBorders>
          <w:top w:val="single" w:sz="6" w:space="0" w:color="64748B"/>
          <w:left w:val="single" w:sz="6" w:space="0" w:color="64748B"/>
          <w:bottom w:val="single" w:sz="6" w:space="0" w:color="64748B"/>
          <w:right w:val="single" w:sz="6" w:space="0" w:color="64748B"/>
          <w:insideH w:val="none" w:sz="6" w:space="0" w:color="64748B"/>
          <w:insideV w:val="none" w:sz="6" w:space="0" w:color="64748B"/>
        </w:tblBorders>
        <w:tblCellMar>
          <w:top w:w="60" w:type="dxa"/>
          <w:left w:w="120" w:type="dxa"/>
          <w:bottom w:w="60" w:type="dxa"/>
          <w:right w:w="120" w:type="dxa"/>
        </w:tblCellMar>
        <w:tblLook w:firstColumn="1" w:firstRow="1" w:lastColumn="0" w:lastRow="0" w:noHBand="0" w:noVBand="1" w:val="04A0"/>
      </w:tblPr>
      <w:tblGrid>
        <w:gridCol w:w="9752"/>
      </w:tblGrid>
      <w:tr>
        <w:tc>
          <w:tcPr>
            <w:tcW w:type="dxa" w:w="9751"/>
            <w:shd w:val="clear" w:color="auto" w:fill="F4F7FB"/>
          </w:tcPr>
          <w:p>
            <w:pPr>
              <w:spacing w:after="40"/>
            </w:pPr>
            <w:r>
              <w:rPr>
                <w:b/>
                <w:color w:val="64748B"/>
                <w:sz w:val="16"/>
              </w:rPr>
              <w:t>KANTTEKENING BIJ DE JDT</w:t>
            </w:r>
          </w:p>
          <w:p>
            <w:pPr>
              <w:spacing w:after="0" w:line="300" w:lineRule="auto"/>
            </w:pPr>
            <w:r>
              <w:rPr>
                <w:color w:val="0F1B2D"/>
                <w:sz w:val="21"/>
              </w:rPr>
              <w:t>Ervaren werkdruk: je kunt vol liggen waardoor de druk hoog is, terwijl de JDT-score dat niet laat zien.</w:t>
            </w:r>
          </w:p>
        </w:tc>
      </w:tr>
    </w:tbl>
    <w:p>
      <w:pPr>
        <w:spacing w:after="40"/>
      </w:pPr>
    </w:p>
    <w:p>
      <w:pPr>
        <w:pStyle w:val="Heading2"/>
        <w:spacing w:before="280" w:after="80"/>
      </w:pPr>
      <w:r>
        <w:rPr>
          <w:rFonts w:ascii="Calibri" w:hAnsi="Calibri"/>
          <w:color w:val="6B4BA8"/>
          <w:sz w:val="25"/>
        </w:rPr>
        <w:t>11.5  Simulatie en jaarplan</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6B4BA8"/>
          </w:tcPr>
          <w:p>
            <w:pPr>
              <w:spacing w:before="20" w:after="20"/>
            </w:pPr>
            <w:r>
              <w:rPr>
                <w:b/>
                <w:color w:val="FFFFFF"/>
                <w:sz w:val="18"/>
              </w:rPr>
              <w:t>SIMULATIE NIEUWBOUW</w:t>
            </w:r>
          </w:p>
        </w:tc>
      </w:tr>
      <w:tr>
        <w:tc>
          <w:tcPr>
            <w:tcW w:type="dxa" w:w="567"/>
          </w:tcPr>
          <w:p>
            <w:pPr>
              <w:spacing w:before="40" w:after="40"/>
              <w:jc w:val="center"/>
            </w:pPr>
            <w:r>
              <w:rPr>
                <w:b/>
                <w:color w:val="6B4BA8"/>
                <w:sz w:val="18"/>
              </w:rPr>
              <w:t>1</w:t>
            </w:r>
          </w:p>
        </w:tc>
        <w:tc>
          <w:tcPr>
            <w:tcW w:type="dxa" w:w="9184"/>
          </w:tcPr>
          <w:p>
            <w:pPr>
              <w:spacing w:before="40" w:after="40" w:line="276" w:lineRule="auto"/>
            </w:pPr>
            <w:r>
              <w:rPr>
                <w:color w:val="0F1B2D"/>
                <w:sz w:val="19"/>
              </w:rPr>
              <w:t>Volledige ICU-data.</w:t>
            </w:r>
          </w:p>
        </w:tc>
      </w:tr>
      <w:tr>
        <w:tc>
          <w:tcPr>
            <w:tcW w:type="dxa" w:w="567"/>
            <w:shd w:val="clear" w:color="auto" w:fill="F4F7FB"/>
          </w:tcPr>
          <w:p>
            <w:pPr>
              <w:spacing w:before="40" w:after="40"/>
              <w:jc w:val="center"/>
            </w:pPr>
            <w:r>
              <w:rPr>
                <w:b/>
                <w:color w:val="6B4BA8"/>
                <w:sz w:val="18"/>
              </w:rPr>
              <w:t>2</w:t>
            </w:r>
          </w:p>
        </w:tc>
        <w:tc>
          <w:tcPr>
            <w:tcW w:type="dxa" w:w="9184"/>
            <w:shd w:val="clear" w:color="auto" w:fill="F4F7FB"/>
          </w:tcPr>
          <w:p>
            <w:pPr>
              <w:spacing w:before="40" w:after="40" w:line="276" w:lineRule="auto"/>
            </w:pPr>
            <w:r>
              <w:rPr>
                <w:color w:val="0F1B2D"/>
                <w:sz w:val="19"/>
              </w:rPr>
              <w:t>CCU-data exclusief de eerste 2 uur van CCU-patienten die naar de SEH gaan.</w:t>
            </w:r>
          </w:p>
        </w:tc>
      </w:tr>
      <w:tr>
        <w:tc>
          <w:tcPr>
            <w:tcW w:type="dxa" w:w="567"/>
          </w:tcPr>
          <w:p>
            <w:pPr>
              <w:spacing w:before="40" w:after="40"/>
              <w:jc w:val="center"/>
            </w:pPr>
            <w:r>
              <w:rPr>
                <w:b/>
                <w:color w:val="6B4BA8"/>
                <w:sz w:val="18"/>
              </w:rPr>
              <w:t>3</w:t>
            </w:r>
          </w:p>
        </w:tc>
        <w:tc>
          <w:tcPr>
            <w:tcW w:type="dxa" w:w="9184"/>
          </w:tcPr>
          <w:p>
            <w:pPr>
              <w:spacing w:before="40" w:after="40" w:line="276" w:lineRule="auto"/>
            </w:pPr>
            <w:r>
              <w:rPr>
                <w:color w:val="0F1B2D"/>
                <w:sz w:val="19"/>
              </w:rPr>
              <w:t>Op hoeveel bedden komen we op dagniveau uit, en zijn er seizoenspatronen? Hoe is de verdeling ICU/CCU voor het personeel?</w:t>
            </w:r>
          </w:p>
        </w:tc>
      </w:tr>
      <w:tr>
        <w:tc>
          <w:tcPr>
            <w:tcW w:type="dxa" w:w="567"/>
            <w:shd w:val="clear" w:color="auto" w:fill="F4F7FB"/>
          </w:tcPr>
          <w:p>
            <w:pPr>
              <w:spacing w:before="40" w:after="40"/>
              <w:jc w:val="center"/>
            </w:pPr>
            <w:r>
              <w:rPr>
                <w:b/>
                <w:color w:val="6B4BA8"/>
                <w:sz w:val="18"/>
              </w:rPr>
              <w:t>4</w:t>
            </w:r>
          </w:p>
        </w:tc>
        <w:tc>
          <w:tcPr>
            <w:tcW w:type="dxa" w:w="9184"/>
            <w:shd w:val="clear" w:color="auto" w:fill="F4F7FB"/>
          </w:tcPr>
          <w:p>
            <w:pPr>
              <w:spacing w:before="40" w:after="40" w:line="276" w:lineRule="auto"/>
            </w:pPr>
            <w:r>
              <w:rPr>
                <w:color w:val="0F1B2D"/>
                <w:sz w:val="19"/>
              </w:rPr>
              <w:t>Versneld jaarplan CCU, en het document van Daniek: huidig, transitie, nieuwbouw.</w:t>
            </w:r>
          </w:p>
        </w:tc>
      </w:tr>
    </w:tbl>
    <w:p>
      <w:pPr>
        <w:spacing w:after="80"/>
      </w:pPr>
    </w:p>
    <w:p>
      <w:pPr>
        <w:pStyle w:val="Heading2"/>
        <w:spacing w:before="280" w:after="80"/>
      </w:pPr>
      <w:r>
        <w:rPr>
          <w:rFonts w:ascii="Calibri" w:hAnsi="Calibri"/>
          <w:color w:val="123A63"/>
          <w:sz w:val="25"/>
        </w:rPr>
        <w:t>11.6  Aantekeningen aftrap jaarplannen Acuut 2027</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123A63"/>
          </w:tcPr>
          <w:p>
            <w:pPr>
              <w:spacing w:before="20" w:after="20"/>
            </w:pPr>
            <w:r>
              <w:rPr>
                <w:b/>
                <w:color w:val="FFFFFF"/>
                <w:sz w:val="18"/>
              </w:rPr>
              <w:t>AANTEKENINGEN 24-7-2026</w:t>
            </w:r>
          </w:p>
        </w:tc>
      </w:tr>
      <w:tr>
        <w:tc>
          <w:tcPr>
            <w:tcW w:type="dxa" w:w="567"/>
          </w:tcPr>
          <w:p>
            <w:pPr>
              <w:spacing w:before="40" w:after="40"/>
              <w:jc w:val="center"/>
            </w:pPr>
            <w:r>
              <w:rPr>
                <w:b/>
                <w:color w:val="123A63"/>
                <w:sz w:val="18"/>
              </w:rPr>
              <w:t>1</w:t>
            </w:r>
          </w:p>
        </w:tc>
        <w:tc>
          <w:tcPr>
            <w:tcW w:type="dxa" w:w="9184"/>
          </w:tcPr>
          <w:p>
            <w:pPr>
              <w:spacing w:before="40" w:after="40" w:line="276" w:lineRule="auto"/>
            </w:pPr>
            <w:r>
              <w:rPr>
                <w:color w:val="0F1B2D"/>
                <w:sz w:val="19"/>
              </w:rPr>
              <w:t>We kijken nu naar de verpleegkundige inzet; voor de SEH-artsen is eerder al iets gedaan. Wat is de wens en de verwachting?</w:t>
            </w:r>
          </w:p>
        </w:tc>
      </w:tr>
      <w:tr>
        <w:tc>
          <w:tcPr>
            <w:tcW w:type="dxa" w:w="567"/>
            <w:shd w:val="clear" w:color="auto" w:fill="F4F7FB"/>
          </w:tcPr>
          <w:p>
            <w:pPr>
              <w:spacing w:before="40" w:after="40"/>
              <w:jc w:val="center"/>
            </w:pPr>
            <w:r>
              <w:rPr>
                <w:b/>
                <w:color w:val="123A63"/>
                <w:sz w:val="18"/>
              </w:rPr>
              <w:t>2</w:t>
            </w:r>
          </w:p>
        </w:tc>
        <w:tc>
          <w:tcPr>
            <w:tcW w:type="dxa" w:w="9184"/>
            <w:shd w:val="clear" w:color="auto" w:fill="F4F7FB"/>
          </w:tcPr>
          <w:p>
            <w:pPr>
              <w:spacing w:before="40" w:after="40" w:line="276" w:lineRule="auto"/>
            </w:pPr>
            <w:r>
              <w:rPr>
                <w:color w:val="0F1B2D"/>
                <w:sz w:val="19"/>
              </w:rPr>
              <w:t>Inzet op integratie van afdelingen per nu: ICU en CCU, waarbij de SEH nog even buiten beschouwing blijft.</w:t>
            </w:r>
          </w:p>
        </w:tc>
      </w:tr>
      <w:tr>
        <w:tc>
          <w:tcPr>
            <w:tcW w:type="dxa" w:w="567"/>
          </w:tcPr>
          <w:p>
            <w:pPr>
              <w:spacing w:before="40" w:after="40"/>
              <w:jc w:val="center"/>
            </w:pPr>
            <w:r>
              <w:rPr>
                <w:b/>
                <w:color w:val="123A63"/>
                <w:sz w:val="18"/>
              </w:rPr>
              <w:t>3</w:t>
            </w:r>
          </w:p>
        </w:tc>
        <w:tc>
          <w:tcPr>
            <w:tcW w:type="dxa" w:w="9184"/>
          </w:tcPr>
          <w:p>
            <w:pPr>
              <w:spacing w:before="40" w:after="40" w:line="276" w:lineRule="auto"/>
            </w:pPr>
            <w:r>
              <w:rPr>
                <w:color w:val="0F1B2D"/>
                <w:sz w:val="19"/>
              </w:rPr>
              <w:t>Er is nog geen inzet van de ICU op de CCU; andersom gebeurt dat wel, maar alleen ad hoc.</w:t>
            </w:r>
          </w:p>
        </w:tc>
      </w:tr>
    </w:tbl>
    <w:p>
      <w:pPr>
        <w:spacing w:after="80"/>
      </w:pPr>
    </w:p>
    <w:p>
      <w:pPr>
        <w:pStyle w:val="Heading2"/>
        <w:spacing w:before="280" w:after="80"/>
      </w:pPr>
      <w:r>
        <w:rPr>
          <w:rFonts w:ascii="Calibri" w:hAnsi="Calibri"/>
          <w:color w:val="DE8A1B"/>
          <w:sz w:val="25"/>
        </w:rPr>
        <w:t>11.7  Direct naar Remco</w:t>
      </w:r>
    </w:p>
    <w:tbl>
      <w:tblPr>
        <w:tblW w:type="auto" w:w="0"/>
        <w:jc w:val="center"/>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40" w:type="dxa"/>
          <w:left w:w="100" w:type="dxa"/>
          <w:bottom w:w="40" w:type="dxa"/>
          <w:right w:w="100" w:type="dxa"/>
        </w:tblCellMar>
        <w:tblLook w:firstColumn="1" w:firstRow="1" w:lastColumn="0" w:lastRow="0" w:noHBand="0" w:noVBand="1" w:val="04A0"/>
      </w:tblPr>
      <w:tblGrid>
        <w:gridCol w:w="4876"/>
        <w:gridCol w:w="4876"/>
      </w:tblGrid>
      <w:tr>
        <w:tc>
          <w:tcPr>
            <w:tcW w:type="dxa" w:w="9752"/>
            <w:gridSpan w:val="2"/>
            <w:shd w:val="clear" w:color="auto" w:fill="DE8A1B"/>
          </w:tcPr>
          <w:p>
            <w:pPr>
              <w:spacing w:before="20" w:after="20"/>
            </w:pPr>
            <w:r>
              <w:rPr>
                <w:b/>
                <w:color w:val="FFFFFF"/>
                <w:sz w:val="18"/>
              </w:rPr>
              <w:t>OP DE MAIL NAAR REMCO</w:t>
            </w:r>
          </w:p>
        </w:tc>
      </w:tr>
      <w:tr>
        <w:tc>
          <w:tcPr>
            <w:tcW w:type="dxa" w:w="567"/>
          </w:tcPr>
          <w:p>
            <w:pPr>
              <w:spacing w:before="40" w:after="40"/>
              <w:jc w:val="center"/>
            </w:pPr>
            <w:r>
              <w:rPr>
                <w:b/>
                <w:color w:val="DE8A1B"/>
                <w:sz w:val="18"/>
              </w:rPr>
              <w:t>1</w:t>
            </w:r>
          </w:p>
        </w:tc>
        <w:tc>
          <w:tcPr>
            <w:tcW w:type="dxa" w:w="9184"/>
          </w:tcPr>
          <w:p>
            <w:pPr>
              <w:spacing w:before="40" w:after="40" w:line="276" w:lineRule="auto"/>
            </w:pPr>
            <w:r>
              <w:rPr>
                <w:color w:val="0F1B2D"/>
                <w:sz w:val="19"/>
              </w:rPr>
              <w:t>Hoort de EHH bij het personeel van de ICU/CCU of bij de SEH?</w:t>
            </w:r>
          </w:p>
        </w:tc>
      </w:tr>
      <w:tr>
        <w:tc>
          <w:tcPr>
            <w:tcW w:type="dxa" w:w="567"/>
            <w:shd w:val="clear" w:color="auto" w:fill="F4F7FB"/>
          </w:tcPr>
          <w:p>
            <w:pPr>
              <w:spacing w:before="40" w:after="40"/>
              <w:jc w:val="center"/>
            </w:pPr>
            <w:r>
              <w:rPr>
                <w:b/>
                <w:color w:val="DE8A1B"/>
                <w:sz w:val="18"/>
              </w:rPr>
              <w:t>2</w:t>
            </w:r>
          </w:p>
        </w:tc>
        <w:tc>
          <w:tcPr>
            <w:tcW w:type="dxa" w:w="9184"/>
            <w:shd w:val="clear" w:color="auto" w:fill="F4F7FB"/>
          </w:tcPr>
          <w:p>
            <w:pPr>
              <w:spacing w:before="40" w:after="40" w:line="276" w:lineRule="auto"/>
            </w:pPr>
            <w:r>
              <w:rPr>
                <w:color w:val="0F1B2D"/>
                <w:sz w:val="19"/>
              </w:rPr>
              <w:t>Waar is de opvang van de acute cardiologiepatient: op de SEH of op de EHH?</w:t>
            </w:r>
          </w:p>
        </w:tc>
      </w:tr>
      <w:tr>
        <w:tc>
          <w:tcPr>
            <w:tcW w:type="dxa" w:w="567"/>
          </w:tcPr>
          <w:p>
            <w:pPr>
              <w:spacing w:before="40" w:after="40"/>
              <w:jc w:val="center"/>
            </w:pPr>
            <w:r>
              <w:rPr>
                <w:b/>
                <w:color w:val="DE8A1B"/>
                <w:sz w:val="18"/>
              </w:rPr>
              <w:t>3</w:t>
            </w:r>
          </w:p>
        </w:tc>
        <w:tc>
          <w:tcPr>
            <w:tcW w:type="dxa" w:w="9184"/>
          </w:tcPr>
          <w:p>
            <w:pPr>
              <w:spacing w:before="40" w:after="40" w:line="276" w:lineRule="auto"/>
            </w:pPr>
            <w:r>
              <w:rPr>
                <w:color w:val="0F1B2D"/>
                <w:sz w:val="19"/>
              </w:rPr>
              <w:t>Hoe lang blijft een patient op de SEH voordat die naar de EHH gaat?</w:t>
            </w:r>
          </w:p>
        </w:tc>
      </w:tr>
    </w:tbl>
    <w:p>
      <w:pPr>
        <w:spacing w:after="80"/>
      </w:pPr>
    </w:p>
    <w:tbl>
      <w:tblPr>
        <w:tblW w:type="auto" w:w="0"/>
        <w:jc w:val="center"/>
        <w:tblBorders>
          <w:top w:val="single" w:sz="6" w:space="0" w:color="123A63"/>
          <w:left w:val="single" w:sz="6" w:space="0" w:color="123A63"/>
          <w:bottom w:val="single" w:sz="6" w:space="0" w:color="123A63"/>
          <w:right w:val="single" w:sz="6" w:space="0" w:color="123A63"/>
          <w:insideH w:val="none" w:sz="6" w:space="0" w:color="123A63"/>
          <w:insideV w:val="none" w:sz="6" w:space="0" w:color="123A63"/>
        </w:tblBorders>
        <w:tblCellMar>
          <w:top w:w="60" w:type="dxa"/>
          <w:left w:w="120" w:type="dxa"/>
          <w:bottom w:w="60" w:type="dxa"/>
          <w:right w:w="120" w:type="dxa"/>
        </w:tblCellMar>
        <w:tblLook w:firstColumn="1" w:firstRow="1" w:lastColumn="0" w:lastRow="0" w:noHBand="0" w:noVBand="1" w:val="04A0"/>
      </w:tblPr>
      <w:tblGrid>
        <w:gridCol w:w="9752"/>
      </w:tblGrid>
      <w:tr>
        <w:tc>
          <w:tcPr>
            <w:tcW w:type="dxa" w:w="9751"/>
            <w:shd w:val="clear" w:color="auto" w:fill="F4F7FB"/>
          </w:tcPr>
          <w:p>
            <w:pPr>
              <w:spacing w:after="40"/>
            </w:pPr>
            <w:r>
              <w:rPr>
                <w:b/>
                <w:color w:val="123A63"/>
                <w:sz w:val="16"/>
              </w:rPr>
              <w:t>MASTERPLAN ACUUT</w:t>
            </w:r>
          </w:p>
          <w:p>
            <w:pPr>
              <w:spacing w:after="0" w:line="300" w:lineRule="auto"/>
            </w:pPr>
            <w:r>
              <w:rPr>
                <w:color w:val="0F1B2D"/>
                <w:sz w:val="21"/>
              </w:rPr>
              <w:t>Wat ontbreekt er nog voor de transitie naar de nieuwbouw? Wat hebben we nodig op basis van patientaanwezigheid? Voorstel: een jaarplan opstellen en dat naast het huidige plan leggen. Alle punten, met alle disciplines erbij, op de mail zetten.</w:t>
            </w:r>
          </w:p>
        </w:tc>
      </w:tr>
    </w:tbl>
    <w:p>
      <w:pPr>
        <w:spacing w:after="40"/>
      </w:pPr>
    </w:p>
    <w:p>
      <w:r>
        <w:br w:type="page"/>
      </w:r>
    </w:p>
    <w:p>
      <w:pPr>
        <w:pStyle w:val="Heading1"/>
        <w:spacing w:before="80" w:after="40"/>
      </w:pPr>
      <w:r>
        <w:rPr>
          <w:rFonts w:ascii="Calibri" w:hAnsi="Calibri"/>
          <w:color w:val="C4392D"/>
          <w:sz w:val="38"/>
        </w:rPr>
        <w:t>12.  Wat moet er besloten worden</w:t>
      </w:r>
    </w:p>
    <w:p>
      <w:pPr>
        <w:pBdr>
          <w:bottom w:val="single" w:sz="4" w:space="4" w:color="D8E0EA"/>
        </w:pBdr>
        <w:spacing w:before="0" w:after="80" w:line="312" w:lineRule="auto"/>
      </w:pPr>
      <w:r>
        <w:rPr>
          <w:b w:val="0"/>
          <w:i w:val="0"/>
          <w:color w:val="64748B"/>
          <w:sz w:val="22"/>
        </w:rPr>
        <w:t>Zes beslissingen waar de rest van het traject op wacht. De eerste drie blokkeren de onderbouwing van de personele inzet.</w:t>
      </w:r>
    </w:p>
    <w:p>
      <w:pPr>
        <w:spacing w:before="80" w:after="120"/>
        <w:jc w:val="center"/>
      </w:pPr>
      <w:r>
        <w:drawing>
          <wp:inline xmlns:a="http://schemas.openxmlformats.org/drawingml/2006/main" xmlns:pic="http://schemas.openxmlformats.org/drawingml/2006/picture">
            <wp:extent cx="6192000" cy="4334400"/>
            <wp:docPr id="12" name="Picture 12"/>
            <wp:cNvGraphicFramePr>
              <a:graphicFrameLocks noChangeAspect="1"/>
            </wp:cNvGraphicFramePr>
            <a:graphic>
              <a:graphicData uri="http://schemas.openxmlformats.org/drawingml/2006/picture">
                <pic:pic>
                  <pic:nvPicPr>
                    <pic:cNvPr id="0" name="fig_12_besluiten.png"/>
                    <pic:cNvPicPr/>
                  </pic:nvPicPr>
                  <pic:blipFill>
                    <a:blip r:embed="rId21"/>
                    <a:stretch>
                      <a:fillRect/>
                    </a:stretch>
                  </pic:blipFill>
                  <pic:spPr>
                    <a:xfrm>
                      <a:off x="0" y="0"/>
                      <a:ext cx="6192000" cy="4334400"/>
                    </a:xfrm>
                    <a:prstGeom prst="rect"/>
                  </pic:spPr>
                </pic:pic>
              </a:graphicData>
            </a:graphic>
          </wp:inline>
        </w:drawing>
      </w:r>
    </w:p>
    <w:sectPr w:rsidR="00FC693F" w:rsidRPr="0006063C" w:rsidSect="00034616">
      <w:foot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Acute poort en Hotfloor  -  werkdocument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B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