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80" w:line="300" w:lineRule="auto"/>
        <w:jc w:val="center"/>
      </w:pPr>
      <w:r>
        <w:rPr>
          <w:b/>
          <w:i w:val="0"/>
          <w:color w:val="5A6472"/>
          <w:sz w:val="26"/>
        </w:rPr>
        <w:t>INTEGRAAL CAPACITEITSMANAGEMENT</w:t>
      </w:r>
    </w:p>
    <w:p>
      <w:pPr>
        <w:spacing w:before="0" w:after="40" w:line="300" w:lineRule="auto"/>
        <w:jc w:val="center"/>
      </w:pPr>
      <w:r>
        <w:rPr>
          <w:b/>
          <w:i w:val="0"/>
          <w:color w:val="1F5FA8"/>
          <w:sz w:val="60"/>
        </w:rPr>
        <w:t>Acute poort en Hotfloor</w:t>
      </w:r>
    </w:p>
    <w:p>
      <w:pPr>
        <w:spacing w:before="0" w:after="360" w:line="300" w:lineRule="auto"/>
        <w:jc w:val="center"/>
      </w:pPr>
      <w:r>
        <w:rPr>
          <w:b w:val="0"/>
          <w:i w:val="0"/>
          <w:color w:val="6B3FA0"/>
          <w:sz w:val="30"/>
        </w:rPr>
        <w:t>Uitwerking van de whiteboardsessie</w:t>
      </w:r>
    </w:p>
    <w:p>
      <w:pPr>
        <w:pBdr>
          <w:bottom w:val="single" w:sz="12" w:space="4" w:color="6B3FA0"/>
        </w:pBdr>
        <w:spacing w:before="0" w:after="360" w:line="300" w:lineRule="auto"/>
        <w:jc w:val="center"/>
      </w:pPr>
    </w:p>
    <w:p>
      <w:pPr>
        <w:spacing w:before="0" w:after="800" w:line="300" w:lineRule="auto"/>
        <w:jc w:val="center"/>
      </w:pPr>
      <w:r>
        <w:rPr>
          <w:b w:val="0"/>
          <w:i w:val="0"/>
          <w:color w:val="5A6472"/>
          <w:sz w:val="24"/>
        </w:rPr>
        <w:t>Van huidige situatie naar nieuwbouw juni 2027</w:t>
      </w:r>
    </w:p>
    <w:tbl>
      <w:tblPr>
        <w:tblW w:type="auto" w:w="0"/>
        <w:jc w:val="center"/>
        <w:tblBorders>
          <w:top w:val="single" w:sz="4" w:space="0" w:color="D6DCE5"/>
          <w:left w:val="single" w:sz="4" w:space="0" w:color="D6DCE5"/>
          <w:bottom w:val="single" w:sz="4" w:space="0" w:color="D6DCE5"/>
          <w:right w:val="single" w:sz="4" w:space="0" w:color="D6DCE5"/>
          <w:insideH w:val="single" w:sz="4" w:space="0" w:color="D6DCE5"/>
          <w:insideV w:val="single" w:sz="4" w:space="0" w:color="D6DCE5"/>
        </w:tblBorders>
        <w:tblLook w:firstColumn="1" w:firstRow="1" w:lastColumn="0" w:lastRow="0" w:noHBand="0" w:noVBand="1" w:val="04A0"/>
      </w:tblPr>
      <w:tblGrid>
        <w:gridCol w:w="4649"/>
        <w:gridCol w:w="4649"/>
      </w:tblGrid>
      <w:tr>
        <w:tc>
          <w:tcPr>
            <w:tcW w:type="dxa" w:w="2551"/>
            <w:shd w:val="clear" w:color="auto" w:fill="F2F4F7"/>
          </w:tcPr>
          <w:p>
            <w:r>
              <w:rPr>
                <w:b/>
                <w:color w:val="1F5FA8"/>
                <w:sz w:val="20"/>
              </w:rPr>
              <w:t>Onderwerp</w:t>
            </w:r>
          </w:p>
        </w:tc>
        <w:tc>
          <w:tcPr>
            <w:tcW w:type="dxa" w:w="6746"/>
          </w:tcPr>
          <w:p>
            <w:r>
              <w:rPr>
                <w:sz w:val="20"/>
              </w:rPr>
              <w:t>Acute poort, Hotfloor, scenario's en personele inzet</w:t>
            </w:r>
          </w:p>
        </w:tc>
      </w:tr>
      <w:tr>
        <w:tc>
          <w:tcPr>
            <w:tcW w:type="dxa" w:w="2551"/>
            <w:shd w:val="clear" w:color="auto" w:fill="F2F4F7"/>
          </w:tcPr>
          <w:p>
            <w:r>
              <w:rPr>
                <w:b/>
                <w:color w:val="1F5FA8"/>
                <w:sz w:val="20"/>
              </w:rPr>
              <w:t>Bron</w:t>
            </w:r>
          </w:p>
        </w:tc>
        <w:tc>
          <w:tcPr>
            <w:tcW w:type="dxa" w:w="6746"/>
          </w:tcPr>
          <w:p>
            <w:r>
              <w:rPr>
                <w:sz w:val="20"/>
              </w:rPr>
              <w:t>Whiteboard 'Integraal Capaciteits Management' (10 foto's)</w:t>
            </w:r>
          </w:p>
        </w:tc>
      </w:tr>
      <w:tr>
        <w:tc>
          <w:tcPr>
            <w:tcW w:type="dxa" w:w="2551"/>
            <w:shd w:val="clear" w:color="auto" w:fill="F2F4F7"/>
          </w:tcPr>
          <w:p>
            <w:r>
              <w:rPr>
                <w:b/>
                <w:color w:val="1F5FA8"/>
                <w:sz w:val="20"/>
              </w:rPr>
              <w:t>Betreft afdelingen</w:t>
            </w:r>
          </w:p>
        </w:tc>
        <w:tc>
          <w:tcPr>
            <w:tcW w:type="dxa" w:w="6746"/>
          </w:tcPr>
          <w:p>
            <w:r>
              <w:rPr>
                <w:sz w:val="20"/>
              </w:rPr>
              <w:t>ICU, CCU, SCU, EHH, SEH en kind spoed</w:t>
            </w:r>
          </w:p>
        </w:tc>
      </w:tr>
      <w:tr>
        <w:tc>
          <w:tcPr>
            <w:tcW w:type="dxa" w:w="2551"/>
            <w:shd w:val="clear" w:color="auto" w:fill="F2F4F7"/>
          </w:tcPr>
          <w:p>
            <w:r>
              <w:rPr>
                <w:b/>
                <w:color w:val="1F5FA8"/>
                <w:sz w:val="20"/>
              </w:rPr>
              <w:t>Status</w:t>
            </w:r>
          </w:p>
        </w:tc>
        <w:tc>
          <w:tcPr>
            <w:tcW w:type="dxa" w:w="6746"/>
          </w:tcPr>
          <w:p>
            <w:r>
              <w:rPr>
                <w:sz w:val="20"/>
              </w:rPr>
              <w:t>Werkdocument - onderdelen zijn nog open</w:t>
            </w:r>
          </w:p>
        </w:tc>
      </w:tr>
    </w:tbl>
    <w:p>
      <w:r>
        <w:br w:type="page"/>
      </w:r>
    </w:p>
    <w:p>
      <w:pPr>
        <w:pStyle w:val="Heading1"/>
        <w:pBdr>
          <w:bottom w:val="single" w:sz="6" w:space="4" w:color="1F5FA8"/>
        </w:pBdr>
        <w:spacing w:before="360" w:after="120"/>
      </w:pPr>
      <w:r>
        <w:rPr>
          <w:rFonts w:ascii="Calibri" w:hAnsi="Calibri"/>
          <w:color w:val="1F5FA8"/>
          <w:sz w:val="34"/>
        </w:rPr>
        <w:t>Inhoud</w:t>
      </w:r>
    </w:p>
    <w:p>
      <w:fldSimple w:instr="TOC \o &quot;1-2&quot; \h \z \u">
        <w:r>
          <w:t>Klik hier en druk op F9 om de inhoudsopgave bij te werken.</w:t>
        </w:r>
      </w:fldSimple>
    </w:p>
    <w:p>
      <w:pPr>
        <w:spacing w:before="0" w:after="120" w:line="300" w:lineRule="auto"/>
      </w:pPr>
      <w:r>
        <w:rPr>
          <w:b w:val="0"/>
          <w:i/>
          <w:color w:val="5A6472"/>
          <w:sz w:val="18"/>
        </w:rPr>
        <w:t>Tip: klik in de inhoudsopgave en druk op F9 om de paginanummers te laten vullen.</w:t>
      </w:r>
    </w:p>
    <w:p>
      <w:r>
        <w:br w:type="page"/>
      </w:r>
    </w:p>
    <w:p>
      <w:pPr>
        <w:pStyle w:val="Heading1"/>
        <w:pBdr>
          <w:bottom w:val="single" w:sz="6" w:space="4" w:color="1F5FA8"/>
        </w:pBdr>
        <w:spacing w:before="360" w:after="120"/>
      </w:pPr>
      <w:r>
        <w:rPr>
          <w:rFonts w:ascii="Calibri" w:hAnsi="Calibri"/>
          <w:color w:val="1F5FA8"/>
          <w:sz w:val="34"/>
        </w:rPr>
        <w:t>Leeswijzer</w:t>
      </w:r>
    </w:p>
    <w:p>
      <w:pPr>
        <w:spacing w:before="0" w:after="120" w:line="300" w:lineRule="auto"/>
      </w:pPr>
      <w:r>
        <w:rPr>
          <w:b w:val="0"/>
          <w:i w:val="0"/>
          <w:color w:val="1B2430"/>
          <w:sz w:val="21"/>
        </w:rPr>
        <w:t>Dit document zet de inhoud van het whiteboard om in negen samenhangende blokken. Elk blok bestaat uit een visualisatie en daaronder de letterlijke inhoud van het bord in tekst. De volgorde volgt de logica van de sessie: eerst het vertrekpunt en de planning, dan de situatieschets en de scenario's, en tot slot de openstaande vragen en het stappenplan.</w:t>
      </w:r>
    </w:p>
    <w:p>
      <w:pPr>
        <w:spacing w:before="120" w:after="40"/>
        <w:jc w:val="center"/>
      </w:pPr>
      <w:r>
        <w:drawing>
          <wp:inline xmlns:a="http://schemas.openxmlformats.org/drawingml/2006/main" xmlns:pic="http://schemas.openxmlformats.org/drawingml/2006/picture">
            <wp:extent cx="5903999" cy="3795428"/>
            <wp:docPr id="1" name="Picture 1"/>
            <wp:cNvGraphicFramePr>
              <a:graphicFrameLocks noChangeAspect="1"/>
            </wp:cNvGraphicFramePr>
            <a:graphic>
              <a:graphicData uri="http://schemas.openxmlformats.org/drawingml/2006/picture">
                <pic:pic>
                  <pic:nvPicPr>
                    <pic:cNvPr id="0" name="fig01_overzicht.png"/>
                    <pic:cNvPicPr/>
                  </pic:nvPicPr>
                  <pic:blipFill>
                    <a:blip r:embed="rId10"/>
                    <a:stretch>
                      <a:fillRect/>
                    </a:stretch>
                  </pic:blipFill>
                  <pic:spPr>
                    <a:xfrm>
                      <a:off x="0" y="0"/>
                      <a:ext cx="5903999" cy="3795428"/>
                    </a:xfrm>
                    <a:prstGeom prst="rect"/>
                  </pic:spPr>
                </pic:pic>
              </a:graphicData>
            </a:graphic>
          </wp:inline>
        </w:drawing>
      </w:r>
    </w:p>
    <w:p>
      <w:pPr>
        <w:spacing w:after="240"/>
        <w:jc w:val="center"/>
      </w:pPr>
      <w:r>
        <w:rPr>
          <w:i/>
          <w:color w:val="5A6472"/>
          <w:sz w:val="18"/>
        </w:rPr>
        <w:t>Figuur 1 - Opbouw van het whiteboard in negen blokken</w:t>
      </w:r>
    </w:p>
    <w:tbl>
      <w:tblPr>
        <w:tblW w:type="auto" w:w="0"/>
        <w:jc w:val="center"/>
        <w:tblBorders>
          <w:top w:val="single" w:sz="8" w:space="0" w:color="5A6472"/>
          <w:left w:val="single" w:sz="8" w:space="0" w:color="5A6472"/>
          <w:bottom w:val="single" w:sz="8" w:space="0" w:color="5A6472"/>
          <w:right w:val="single" w:sz="8" w:space="0" w:color="5A6472"/>
          <w:insideH w:val="single" w:sz="8" w:space="0" w:color="5A6472"/>
          <w:insideV w:val="single" w:sz="8" w:space="0" w:color="5A6472"/>
        </w:tblBorders>
        <w:tblLook w:firstColumn="1" w:firstRow="1" w:lastColumn="0" w:lastRow="0" w:noHBand="0" w:noVBand="1" w:val="04A0"/>
      </w:tblPr>
      <w:tblGrid>
        <w:gridCol w:w="9298"/>
      </w:tblGrid>
      <w:tr>
        <w:tc>
          <w:tcPr>
            <w:tcW w:type="dxa" w:w="9298"/>
            <w:shd w:val="clear" w:color="auto" w:fill="F2F4F7"/>
          </w:tcPr>
          <w:p>
            <w:pPr>
              <w:spacing w:after="80"/>
            </w:pPr>
            <w:r>
              <w:rPr>
                <w:b/>
                <w:color w:val="5A6472"/>
                <w:sz w:val="22"/>
              </w:rPr>
              <w:t>Afkortingen op het bord</w:t>
            </w:r>
          </w:p>
          <w:p>
            <w:pPr>
              <w:spacing w:after="40" w:line="288" w:lineRule="auto"/>
            </w:pPr>
            <w:r>
              <w:rPr>
                <w:color w:val="1B2430"/>
                <w:sz w:val="20"/>
              </w:rPr>
              <w:t>SEH - Spoedeisende hulp</w:t>
            </w:r>
          </w:p>
          <w:p>
            <w:pPr>
              <w:spacing w:after="40" w:line="288" w:lineRule="auto"/>
            </w:pPr>
            <w:r>
              <w:rPr>
                <w:color w:val="1B2430"/>
                <w:sz w:val="20"/>
              </w:rPr>
              <w:t>EHH - Eerste hart hulp</w:t>
            </w:r>
          </w:p>
          <w:p>
            <w:pPr>
              <w:spacing w:after="40" w:line="288" w:lineRule="auto"/>
            </w:pPr>
            <w:r>
              <w:rPr>
                <w:color w:val="1B2430"/>
                <w:sz w:val="20"/>
              </w:rPr>
              <w:t>ICU - Intensive care unit</w:t>
            </w:r>
          </w:p>
          <w:p>
            <w:pPr>
              <w:spacing w:after="40" w:line="288" w:lineRule="auto"/>
            </w:pPr>
            <w:r>
              <w:rPr>
                <w:color w:val="1B2430"/>
                <w:sz w:val="20"/>
              </w:rPr>
              <w:t>CCU - Coronary care unit</w:t>
            </w:r>
          </w:p>
          <w:p>
            <w:pPr>
              <w:spacing w:after="40" w:line="288" w:lineRule="auto"/>
            </w:pPr>
            <w:r>
              <w:rPr>
                <w:color w:val="1B2430"/>
                <w:sz w:val="20"/>
              </w:rPr>
              <w:t>SCU - Stroke care unit</w:t>
            </w:r>
          </w:p>
          <w:p>
            <w:pPr>
              <w:spacing w:after="40" w:line="288" w:lineRule="auto"/>
            </w:pPr>
            <w:r>
              <w:rPr>
                <w:color w:val="1B2430"/>
                <w:sz w:val="20"/>
              </w:rPr>
              <w:t>CPP - capaciteits- en personeelsplanning</w:t>
            </w:r>
          </w:p>
          <w:p>
            <w:pPr>
              <w:spacing w:after="40" w:line="288" w:lineRule="auto"/>
            </w:pPr>
            <w:r>
              <w:rPr>
                <w:color w:val="1B2430"/>
                <w:sz w:val="20"/>
              </w:rPr>
              <w:t>BI - business intelligence (databron voor de onderbouwing)</w:t>
            </w:r>
          </w:p>
          <w:p>
            <w:pPr>
              <w:spacing w:after="40" w:line="288" w:lineRule="auto"/>
            </w:pPr>
            <w:r>
              <w:rPr>
                <w:color w:val="1B2430"/>
                <w:sz w:val="20"/>
              </w:rPr>
              <w:t>D / T / L / N - dag-, tussen-, laat- en nachtdienst</w:t>
            </w:r>
          </w:p>
          <w:p>
            <w:pPr>
              <w:spacing w:after="40" w:line="288" w:lineRule="auto"/>
            </w:pPr>
            <w:r>
              <w:rPr>
                <w:color w:val="1B2430"/>
                <w:sz w:val="20"/>
              </w:rPr>
              <w:t>vpk - verpleegkundige</w:t>
            </w:r>
          </w:p>
        </w:tc>
      </w:tr>
    </w:tbl>
    <w:p>
      <w:pPr>
        <w:spacing w:after="80"/>
      </w:pPr>
    </w:p>
    <w:p>
      <w:r>
        <w:br w:type="page"/>
      </w:r>
    </w:p>
    <w:p>
      <w:pPr>
        <w:pStyle w:val="Heading1"/>
        <w:pBdr>
          <w:bottom w:val="single" w:sz="6" w:space="4" w:color="1F5FA8"/>
        </w:pBdr>
        <w:spacing w:before="360" w:after="120"/>
      </w:pPr>
      <w:r>
        <w:rPr>
          <w:rFonts w:ascii="Calibri" w:hAnsi="Calibri"/>
          <w:color w:val="1F5FA8"/>
          <w:sz w:val="34"/>
        </w:rPr>
        <w:t>1. Vertrekpunt en planning</w:t>
      </w:r>
    </w:p>
    <w:p>
      <w:pPr>
        <w:spacing w:before="0" w:after="120" w:line="300" w:lineRule="auto"/>
      </w:pPr>
      <w:r>
        <w:rPr>
          <w:b w:val="0"/>
          <w:i w:val="0"/>
          <w:color w:val="1B2430"/>
          <w:sz w:val="21"/>
        </w:rPr>
        <w:t>Het bord begint bij de planning. Er zijn vier perioden te onderscheiden, en per periode is de vraag anders: wat kan er nu al, wat kan pas in de oudbouw, en wat kan pas na de verhuizing?</w:t>
      </w:r>
    </w:p>
    <w:p>
      <w:pPr>
        <w:spacing w:before="120" w:after="40"/>
        <w:jc w:val="center"/>
      </w:pPr>
      <w:r>
        <w:drawing>
          <wp:inline xmlns:a="http://schemas.openxmlformats.org/drawingml/2006/main" xmlns:pic="http://schemas.openxmlformats.org/drawingml/2006/picture">
            <wp:extent cx="5903999" cy="4174971"/>
            <wp:docPr id="2" name="Picture 2"/>
            <wp:cNvGraphicFramePr>
              <a:graphicFrameLocks noChangeAspect="1"/>
            </wp:cNvGraphicFramePr>
            <a:graphic>
              <a:graphicData uri="http://schemas.openxmlformats.org/drawingml/2006/picture">
                <pic:pic>
                  <pic:nvPicPr>
                    <pic:cNvPr id="0" name="fig02_plan.png"/>
                    <pic:cNvPicPr/>
                  </pic:nvPicPr>
                  <pic:blipFill>
                    <a:blip r:embed="rId11"/>
                    <a:stretch>
                      <a:fillRect/>
                    </a:stretch>
                  </pic:blipFill>
                  <pic:spPr>
                    <a:xfrm>
                      <a:off x="0" y="0"/>
                      <a:ext cx="5903999" cy="4174971"/>
                    </a:xfrm>
                    <a:prstGeom prst="rect"/>
                  </pic:spPr>
                </pic:pic>
              </a:graphicData>
            </a:graphic>
          </wp:inline>
        </w:drawing>
      </w:r>
    </w:p>
    <w:p>
      <w:pPr>
        <w:spacing w:after="240"/>
        <w:jc w:val="center"/>
      </w:pPr>
      <w:r>
        <w:rPr>
          <w:i/>
          <w:color w:val="5A6472"/>
          <w:sz w:val="18"/>
        </w:rPr>
        <w:t>Figuur 2 - Vier perioden, de ontbrekende randvoorwaarde en de kernvraag</w:t>
      </w:r>
    </w:p>
    <w:p>
      <w:pPr>
        <w:pStyle w:val="Heading2"/>
        <w:spacing w:before="240" w:after="120"/>
      </w:pPr>
      <w:r>
        <w:rPr>
          <w:rFonts w:ascii="Calibri" w:hAnsi="Calibri"/>
          <w:color w:val="1F5FA8"/>
          <w:sz w:val="26"/>
        </w:rPr>
        <w:t>Wat staat er op het bord</w:t>
      </w:r>
    </w:p>
    <w:p>
      <w:pPr>
        <w:pStyle w:val="ListBullet"/>
        <w:spacing w:after="60" w:line="288" w:lineRule="auto"/>
      </w:pPr>
      <w:r>
        <w:rPr>
          <w:color w:val="1B2430"/>
          <w:sz w:val="21"/>
        </w:rPr>
        <w:t>Plan: nu 2026 - oudbouw jan tot en met mei - verhuis begin juni - nieuwbouw eind juni.</w:t>
      </w:r>
    </w:p>
    <w:p>
      <w:pPr>
        <w:pStyle w:val="ListBullet"/>
        <w:spacing w:after="60" w:line="288" w:lineRule="auto"/>
      </w:pPr>
      <w:r>
        <w:rPr>
          <w:color w:val="1B2430"/>
          <w:sz w:val="21"/>
        </w:rPr>
        <w:t>Er is geen vastgestelde norm en geen vastgestelde roostersleutel.</w:t>
      </w:r>
    </w:p>
    <w:p>
      <w:pPr>
        <w:pStyle w:val="ListBullet"/>
        <w:spacing w:after="60" w:line="288" w:lineRule="auto"/>
      </w:pPr>
      <w:r>
        <w:rPr>
          <w:color w:val="1B2430"/>
          <w:sz w:val="21"/>
        </w:rPr>
        <w:t>Hoe gaan we samenwerken? Diensten uitruilen? Fysieke patiëntcategorieën al schuiven?</w:t>
      </w:r>
    </w:p>
    <w:p>
      <w:pPr>
        <w:pStyle w:val="ListBullet"/>
        <w:spacing w:after="60" w:line="288" w:lineRule="auto"/>
      </w:pPr>
      <w:r>
        <w:rPr>
          <w:color w:val="1B2430"/>
          <w:sz w:val="21"/>
        </w:rPr>
        <w:t>Elk scenario heeft effect op de benodigde fysieke capaciteit én op de personele inzet (norm plus deskundigheid).</w:t>
      </w:r>
    </w:p>
    <w:p>
      <w:r>
        <w:br w:type="page"/>
      </w:r>
    </w:p>
    <w:p>
      <w:pPr>
        <w:pStyle w:val="Heading1"/>
        <w:pBdr>
          <w:bottom w:val="single" w:sz="6" w:space="4" w:color="6B3FA0"/>
        </w:pBdr>
        <w:spacing w:before="360" w:after="120"/>
      </w:pPr>
      <w:r>
        <w:rPr>
          <w:rFonts w:ascii="Calibri" w:hAnsi="Calibri"/>
          <w:color w:val="6B3FA0"/>
          <w:sz w:val="34"/>
        </w:rPr>
        <w:t>2. Tijdlijn en berekeningen</w:t>
      </w:r>
    </w:p>
    <w:p>
      <w:pPr>
        <w:spacing w:before="0" w:after="120" w:line="300" w:lineRule="auto"/>
      </w:pPr>
      <w:r>
        <w:rPr>
          <w:b w:val="0"/>
          <w:i w:val="0"/>
          <w:color w:val="1B2430"/>
          <w:sz w:val="21"/>
        </w:rPr>
        <w:t>Op de tijdlijn staat wat er tussen september 2026 en de verhuizing gereed moet zijn. De maanden oktober tot en met mei zijn op het bord omkaderd: dat is de periode waarin de voorbereiding en het werken in de oudbouw plaatsvinden.</w:t>
      </w:r>
    </w:p>
    <w:p>
      <w:pPr>
        <w:spacing w:before="120" w:after="40"/>
        <w:jc w:val="center"/>
      </w:pPr>
      <w:r>
        <w:drawing>
          <wp:inline xmlns:a="http://schemas.openxmlformats.org/drawingml/2006/main" xmlns:pic="http://schemas.openxmlformats.org/drawingml/2006/picture">
            <wp:extent cx="5903999" cy="3795428"/>
            <wp:docPr id="3" name="Picture 3"/>
            <wp:cNvGraphicFramePr>
              <a:graphicFrameLocks noChangeAspect="1"/>
            </wp:cNvGraphicFramePr>
            <a:graphic>
              <a:graphicData uri="http://schemas.openxmlformats.org/drawingml/2006/picture">
                <pic:pic>
                  <pic:nvPicPr>
                    <pic:cNvPr id="0" name="fig03_tijdlijn.png"/>
                    <pic:cNvPicPr/>
                  </pic:nvPicPr>
                  <pic:blipFill>
                    <a:blip r:embed="rId12"/>
                    <a:stretch>
                      <a:fillRect/>
                    </a:stretch>
                  </pic:blipFill>
                  <pic:spPr>
                    <a:xfrm>
                      <a:off x="0" y="0"/>
                      <a:ext cx="5903999" cy="3795428"/>
                    </a:xfrm>
                    <a:prstGeom prst="rect"/>
                  </pic:spPr>
                </pic:pic>
              </a:graphicData>
            </a:graphic>
          </wp:inline>
        </w:drawing>
      </w:r>
    </w:p>
    <w:p>
      <w:pPr>
        <w:spacing w:after="240"/>
        <w:jc w:val="center"/>
      </w:pPr>
      <w:r>
        <w:rPr>
          <w:i/>
          <w:color w:val="5A6472"/>
          <w:sz w:val="18"/>
        </w:rPr>
        <w:t>Figuur 3 - Tijdlijn van september tot de verhuizing en de drie berekeningen</w:t>
      </w:r>
    </w:p>
    <w:p>
      <w:pPr>
        <w:pStyle w:val="Heading2"/>
        <w:spacing w:before="240" w:after="120"/>
      </w:pPr>
      <w:r>
        <w:rPr>
          <w:rFonts w:ascii="Calibri" w:hAnsi="Calibri"/>
          <w:color w:val="6B3FA0"/>
          <w:sz w:val="26"/>
        </w:rPr>
        <w:t>Wat staat er op het bord</w:t>
      </w:r>
    </w:p>
    <w:p>
      <w:pPr>
        <w:pStyle w:val="ListBullet"/>
        <w:spacing w:after="60" w:line="288" w:lineRule="auto"/>
      </w:pPr>
      <w:r>
        <w:rPr>
          <w:color w:val="1B2430"/>
          <w:sz w:val="21"/>
        </w:rPr>
        <w:t>September 2026: start van de berekeningen.</w:t>
      </w:r>
    </w:p>
    <w:p>
      <w:pPr>
        <w:pStyle w:val="ListBullet"/>
        <w:spacing w:after="60" w:line="288" w:lineRule="auto"/>
      </w:pPr>
      <w:r>
        <w:rPr>
          <w:color w:val="1B2430"/>
          <w:sz w:val="21"/>
        </w:rPr>
        <w:t>Aantal bedden op basis van patiëntaanwezigheid gereed.</w:t>
      </w:r>
    </w:p>
    <w:p>
      <w:pPr>
        <w:pStyle w:val="ListBullet"/>
        <w:spacing w:after="60" w:line="288" w:lineRule="auto"/>
      </w:pPr>
      <w:r>
        <w:rPr>
          <w:color w:val="1B2430"/>
          <w:sz w:val="21"/>
        </w:rPr>
        <w:t>Norm verpleegkundigen patiëntenzorg gereed, uitgesplitst naar D, L en N.</w:t>
      </w:r>
    </w:p>
    <w:p>
      <w:pPr>
        <w:pStyle w:val="ListBullet"/>
        <w:spacing w:after="60" w:line="288" w:lineRule="auto"/>
      </w:pPr>
      <w:r>
        <w:rPr>
          <w:color w:val="1B2430"/>
          <w:sz w:val="21"/>
        </w:rPr>
        <w:t>Indirecte uren per afdeling gereed.</w:t>
      </w:r>
    </w:p>
    <w:p>
      <w:pPr>
        <w:pStyle w:val="ListBullet"/>
        <w:spacing w:after="60" w:line="288" w:lineRule="auto"/>
      </w:pPr>
      <w:r>
        <w:rPr>
          <w:color w:val="1B2430"/>
          <w:sz w:val="21"/>
        </w:rPr>
        <w:t>Juni: verhuizing.</w:t>
      </w:r>
    </w:p>
    <w:p>
      <w:r>
        <w:br w:type="page"/>
      </w:r>
    </w:p>
    <w:p>
      <w:pPr>
        <w:pStyle w:val="Heading1"/>
        <w:pBdr>
          <w:bottom w:val="single" w:sz="6" w:space="4" w:color="1F5FA8"/>
        </w:pBdr>
        <w:spacing w:before="360" w:after="120"/>
      </w:pPr>
      <w:r>
        <w:rPr>
          <w:rFonts w:ascii="Calibri" w:hAnsi="Calibri"/>
          <w:color w:val="1F5FA8"/>
          <w:sz w:val="34"/>
        </w:rPr>
        <w:t>3. Oud versus nieuw</w:t>
      </w:r>
    </w:p>
    <w:p>
      <w:pPr>
        <w:spacing w:before="0" w:after="120" w:line="300" w:lineRule="auto"/>
      </w:pPr>
      <w:r>
        <w:rPr>
          <w:b w:val="0"/>
          <w:i w:val="0"/>
          <w:color w:val="1B2430"/>
          <w:sz w:val="21"/>
        </w:rPr>
        <w:t>De kern van de verandering: waar de acute en intensieve zorg nu over vier plaatsen in het gebouw verdeeld is, komt die straks in twee clusters te liggen.</w:t>
      </w:r>
    </w:p>
    <w:p>
      <w:pPr>
        <w:spacing w:before="120" w:after="40"/>
        <w:jc w:val="center"/>
      </w:pPr>
      <w:r>
        <w:drawing>
          <wp:inline xmlns:a="http://schemas.openxmlformats.org/drawingml/2006/main" xmlns:pic="http://schemas.openxmlformats.org/drawingml/2006/picture">
            <wp:extent cx="5903999" cy="4006285"/>
            <wp:docPr id="4" name="Picture 4"/>
            <wp:cNvGraphicFramePr>
              <a:graphicFrameLocks noChangeAspect="1"/>
            </wp:cNvGraphicFramePr>
            <a:graphic>
              <a:graphicData uri="http://schemas.openxmlformats.org/drawingml/2006/picture">
                <pic:pic>
                  <pic:nvPicPr>
                    <pic:cNvPr id="0" name="fig04_oud_nieuw.png"/>
                    <pic:cNvPicPr/>
                  </pic:nvPicPr>
                  <pic:blipFill>
                    <a:blip r:embed="rId13"/>
                    <a:stretch>
                      <a:fillRect/>
                    </a:stretch>
                  </pic:blipFill>
                  <pic:spPr>
                    <a:xfrm>
                      <a:off x="0" y="0"/>
                      <a:ext cx="5903999" cy="4006285"/>
                    </a:xfrm>
                    <a:prstGeom prst="rect"/>
                  </pic:spPr>
                </pic:pic>
              </a:graphicData>
            </a:graphic>
          </wp:inline>
        </w:drawing>
      </w:r>
    </w:p>
    <w:p>
      <w:pPr>
        <w:spacing w:after="240"/>
        <w:jc w:val="center"/>
      </w:pPr>
      <w:r>
        <w:rPr>
          <w:i/>
          <w:color w:val="5A6472"/>
          <w:sz w:val="18"/>
        </w:rPr>
        <w:t>Figuur 4 - Van vier verspreide afdelingen naar acute poort en Hotfloor</w:t>
      </w:r>
    </w:p>
    <w:p>
      <w:pPr>
        <w:pStyle w:val="Heading2"/>
        <w:spacing w:before="240" w:after="120"/>
      </w:pPr>
      <w:r>
        <w:rPr>
          <w:rFonts w:ascii="Calibri" w:hAnsi="Calibri"/>
          <w:color w:val="1F5FA8"/>
          <w:sz w:val="26"/>
        </w:rPr>
        <w:t>Wat staat er op het bord</w:t>
      </w:r>
    </w:p>
    <w:p>
      <w:pPr>
        <w:pStyle w:val="ListBullet"/>
        <w:spacing w:after="60" w:line="288" w:lineRule="auto"/>
      </w:pPr>
      <w:r>
        <w:rPr>
          <w:color w:val="1B2430"/>
          <w:sz w:val="21"/>
        </w:rPr>
        <w:t>Oud: kind spoed bij de kinderafdeling/poli, SEH op de begane grond, ICU op de 2e verdieping, CCU/SCU/EHH op de 1e verdieping.</w:t>
      </w:r>
    </w:p>
    <w:p>
      <w:pPr>
        <w:pStyle w:val="ListBullet"/>
        <w:spacing w:after="60" w:line="288" w:lineRule="auto"/>
      </w:pPr>
      <w:r>
        <w:rPr>
          <w:color w:val="1B2430"/>
          <w:sz w:val="21"/>
        </w:rPr>
        <w:t>Nieuw 1: SEH met acute poort, met daarin kind, EHH en SEH.</w:t>
      </w:r>
    </w:p>
    <w:p>
      <w:pPr>
        <w:pStyle w:val="ListBullet"/>
        <w:spacing w:after="60" w:line="288" w:lineRule="auto"/>
      </w:pPr>
      <w:r>
        <w:rPr>
          <w:color w:val="1B2430"/>
          <w:sz w:val="21"/>
        </w:rPr>
        <w:t>Nieuw 2: Hotfloor, met daarin ICU en CCU/SCU.</w:t>
      </w:r>
    </w:p>
    <w:p>
      <w:pPr>
        <w:pStyle w:val="ListBullet"/>
        <w:spacing w:after="60" w:line="288" w:lineRule="auto"/>
      </w:pPr>
      <w:r>
        <w:rPr>
          <w:color w:val="1B2430"/>
          <w:sz w:val="21"/>
        </w:rPr>
        <w:t>Fysieke plekken: hoeveel plekken zijn er nodig? En zijn dit er 16?</w:t>
      </w:r>
    </w:p>
    <w:p>
      <w:r>
        <w:br w:type="page"/>
      </w:r>
    </w:p>
    <w:p>
      <w:pPr>
        <w:pStyle w:val="Heading1"/>
        <w:pBdr>
          <w:bottom w:val="single" w:sz="6" w:space="4" w:color="0E9A87"/>
        </w:pBdr>
        <w:spacing w:before="360" w:after="120"/>
      </w:pPr>
      <w:r>
        <w:rPr>
          <w:rFonts w:ascii="Calibri" w:hAnsi="Calibri"/>
          <w:color w:val="0E9A87"/>
          <w:sz w:val="34"/>
        </w:rPr>
        <w:t>4. Plattegrond nieuwbouw en fysieke plekken</w:t>
      </w:r>
    </w:p>
    <w:p>
      <w:pPr>
        <w:spacing w:before="0" w:after="120" w:line="300" w:lineRule="auto"/>
      </w:pPr>
      <w:r>
        <w:rPr>
          <w:b w:val="0"/>
          <w:i w:val="0"/>
          <w:color w:val="1B2430"/>
          <w:sz w:val="21"/>
        </w:rPr>
        <w:t>De plattegrond van de nieuwbouw kent drie ruimtes. Alleen voor de Hotfloor staat het aantal plekken vast; voor de SEH en de EHH staat er nog een vraagteken.</w:t>
      </w:r>
    </w:p>
    <w:p>
      <w:pPr>
        <w:spacing w:before="120" w:after="40"/>
        <w:jc w:val="center"/>
      </w:pPr>
      <w:r>
        <w:drawing>
          <wp:inline xmlns:a="http://schemas.openxmlformats.org/drawingml/2006/main" xmlns:pic="http://schemas.openxmlformats.org/drawingml/2006/picture">
            <wp:extent cx="5903999" cy="3626742"/>
            <wp:docPr id="5" name="Picture 5"/>
            <wp:cNvGraphicFramePr>
              <a:graphicFrameLocks noChangeAspect="1"/>
            </wp:cNvGraphicFramePr>
            <a:graphic>
              <a:graphicData uri="http://schemas.openxmlformats.org/drawingml/2006/picture">
                <pic:pic>
                  <pic:nvPicPr>
                    <pic:cNvPr id="0" name="fig05_plattegrond.png"/>
                    <pic:cNvPicPr/>
                  </pic:nvPicPr>
                  <pic:blipFill>
                    <a:blip r:embed="rId14"/>
                    <a:stretch>
                      <a:fillRect/>
                    </a:stretch>
                  </pic:blipFill>
                  <pic:spPr>
                    <a:xfrm>
                      <a:off x="0" y="0"/>
                      <a:ext cx="5903999" cy="3626742"/>
                    </a:xfrm>
                    <a:prstGeom prst="rect"/>
                  </pic:spPr>
                </pic:pic>
              </a:graphicData>
            </a:graphic>
          </wp:inline>
        </w:drawing>
      </w:r>
    </w:p>
    <w:p>
      <w:pPr>
        <w:spacing w:after="240"/>
        <w:jc w:val="center"/>
      </w:pPr>
      <w:r>
        <w:rPr>
          <w:i/>
          <w:color w:val="5A6472"/>
          <w:sz w:val="18"/>
        </w:rPr>
        <w:t>Figuur 5 - Plattegrond, aantallen en wat er per plek uitgeschreven moet worden</w:t>
      </w:r>
    </w:p>
    <w:p>
      <w:pPr>
        <w:pStyle w:val="Heading2"/>
        <w:spacing w:before="240" w:after="120"/>
      </w:pPr>
      <w:r>
        <w:rPr>
          <w:rFonts w:ascii="Calibri" w:hAnsi="Calibri"/>
          <w:color w:val="0E9A87"/>
          <w:sz w:val="26"/>
        </w:rPr>
        <w:t>Wat staat er op het bord</w:t>
      </w:r>
    </w:p>
    <w:p>
      <w:pPr>
        <w:pStyle w:val="ListBullet"/>
        <w:spacing w:after="60" w:line="288" w:lineRule="auto"/>
      </w:pPr>
      <w:r>
        <w:rPr>
          <w:color w:val="1B2430"/>
          <w:sz w:val="21"/>
        </w:rPr>
        <w:t>Scenario nieuwbouw fysiek: Hotfloor = 16 bedden, SEH = ? plekken, EHH = ? plekken.</w:t>
      </w:r>
    </w:p>
    <w:p>
      <w:pPr>
        <w:pStyle w:val="ListBullet"/>
        <w:spacing w:after="60" w:line="288" w:lineRule="auto"/>
      </w:pPr>
      <w:r>
        <w:rPr>
          <w:color w:val="1B2430"/>
          <w:sz w:val="21"/>
        </w:rPr>
        <w:t>Fysieke plekken uitschrijven aan de hand van kamernummer en type, eventueel met middelen en materialen.</w:t>
      </w:r>
    </w:p>
    <w:p>
      <w:pPr>
        <w:pStyle w:val="ListBullet"/>
        <w:spacing w:after="60" w:line="288" w:lineRule="auto"/>
      </w:pPr>
      <w:r>
        <w:rPr>
          <w:color w:val="1B2430"/>
          <w:sz w:val="21"/>
        </w:rPr>
        <w:t>Onderscheid tussen fysieke plekken, specifieke plekken en middelen/materialen/apparatuur.</w:t>
      </w:r>
    </w:p>
    <w:p>
      <w:pPr>
        <w:pStyle w:val="ListBullet"/>
        <w:spacing w:after="60" w:line="288" w:lineRule="auto"/>
      </w:pPr>
      <w:r>
        <w:rPr>
          <w:color w:val="1B2430"/>
          <w:sz w:val="21"/>
        </w:rPr>
        <w:t>Bijvoorbeeld: kan er overal beademd worden?</w:t>
      </w:r>
    </w:p>
    <w:p>
      <w:pPr>
        <w:pStyle w:val="ListBullet"/>
        <w:spacing w:after="60" w:line="288" w:lineRule="auto"/>
      </w:pPr>
      <w:r>
        <w:rPr>
          <w:color w:val="1B2430"/>
          <w:sz w:val="21"/>
        </w:rPr>
        <w:t>Kan elke zorgvraag in elke kamer?</w:t>
      </w:r>
    </w:p>
    <w:p>
      <w:pPr>
        <w:pStyle w:val="ListBullet"/>
        <w:spacing w:after="60" w:line="288" w:lineRule="auto"/>
      </w:pPr>
      <w:r>
        <w:rPr>
          <w:color w:val="1B2430"/>
          <w:sz w:val="21"/>
        </w:rPr>
        <w:t>Is er een basisverdeling fysiek voor ICU, CCU en SCU?</w:t>
      </w:r>
    </w:p>
    <w:p>
      <w:r>
        <w:br w:type="page"/>
      </w:r>
    </w:p>
    <w:p>
      <w:pPr>
        <w:pStyle w:val="Heading1"/>
        <w:pBdr>
          <w:bottom w:val="single" w:sz="6" w:space="4" w:color="1F5FA8"/>
        </w:pBdr>
        <w:spacing w:before="360" w:after="120"/>
      </w:pPr>
      <w:r>
        <w:rPr>
          <w:rFonts w:ascii="Calibri" w:hAnsi="Calibri"/>
          <w:color w:val="1F5FA8"/>
          <w:sz w:val="34"/>
        </w:rPr>
        <w:t>5. Scenario's</w:t>
      </w:r>
    </w:p>
    <w:p>
      <w:pPr>
        <w:spacing w:before="0" w:after="120" w:line="300" w:lineRule="auto"/>
      </w:pPr>
      <w:r>
        <w:rPr>
          <w:b w:val="0"/>
          <w:i w:val="0"/>
          <w:color w:val="1B2430"/>
          <w:sz w:val="21"/>
        </w:rPr>
        <w:t>Op het bord staan vijf mogelijke scenario's. Ze zijn niet gelijkwaardig: scenario 5 is het handhaven van de huidige situatie en dient als referentie voor de andere vier.</w:t>
      </w:r>
    </w:p>
    <w:p>
      <w:pPr>
        <w:spacing w:before="120" w:after="40"/>
        <w:jc w:val="center"/>
      </w:pPr>
      <w:r>
        <w:drawing>
          <wp:inline xmlns:a="http://schemas.openxmlformats.org/drawingml/2006/main" xmlns:pic="http://schemas.openxmlformats.org/drawingml/2006/picture">
            <wp:extent cx="5903999" cy="3711085"/>
            <wp:docPr id="6" name="Picture 6"/>
            <wp:cNvGraphicFramePr>
              <a:graphicFrameLocks noChangeAspect="1"/>
            </wp:cNvGraphicFramePr>
            <a:graphic>
              <a:graphicData uri="http://schemas.openxmlformats.org/drawingml/2006/picture">
                <pic:pic>
                  <pic:nvPicPr>
                    <pic:cNvPr id="0" name="fig06_scenarios.png"/>
                    <pic:cNvPicPr/>
                  </pic:nvPicPr>
                  <pic:blipFill>
                    <a:blip r:embed="rId15"/>
                    <a:stretch>
                      <a:fillRect/>
                    </a:stretch>
                  </pic:blipFill>
                  <pic:spPr>
                    <a:xfrm>
                      <a:off x="0" y="0"/>
                      <a:ext cx="5903999" cy="3711085"/>
                    </a:xfrm>
                    <a:prstGeom prst="rect"/>
                  </pic:spPr>
                </pic:pic>
              </a:graphicData>
            </a:graphic>
          </wp:inline>
        </w:drawing>
      </w:r>
    </w:p>
    <w:p>
      <w:pPr>
        <w:spacing w:after="240"/>
        <w:jc w:val="center"/>
      </w:pPr>
      <w:r>
        <w:rPr>
          <w:i/>
          <w:color w:val="5A6472"/>
          <w:sz w:val="18"/>
        </w:rPr>
        <w:t>Figuur 6 - De vijf scenario's en het effect dat elk scenario heeft</w:t>
      </w:r>
    </w:p>
    <w:p>
      <w:pPr>
        <w:pStyle w:val="Heading2"/>
        <w:spacing w:before="240" w:after="120"/>
      </w:pPr>
      <w:r>
        <w:rPr>
          <w:rFonts w:ascii="Calibri" w:hAnsi="Calibri"/>
          <w:color w:val="1F5FA8"/>
          <w:sz w:val="26"/>
        </w:rPr>
        <w:t>Wat staat er op het bord</w:t>
      </w:r>
    </w:p>
    <w:p>
      <w:pPr>
        <w:pStyle w:val="ListNumber"/>
        <w:spacing w:after="60" w:line="288" w:lineRule="auto"/>
      </w:pPr>
      <w:r>
        <w:rPr>
          <w:color w:val="1B2430"/>
          <w:sz w:val="21"/>
        </w:rPr>
        <w:t>EHH naar SEH? Overdag, of ook in de avond?</w:t>
      </w:r>
    </w:p>
    <w:p>
      <w:pPr>
        <w:pStyle w:val="ListNumber"/>
        <w:spacing w:after="60" w:line="288" w:lineRule="auto"/>
      </w:pPr>
      <w:r>
        <w:rPr>
          <w:color w:val="1B2430"/>
          <w:sz w:val="21"/>
        </w:rPr>
        <w:t>ICU en SCU samen op de ICU.</w:t>
      </w:r>
    </w:p>
    <w:p>
      <w:pPr>
        <w:pStyle w:val="ListNumber"/>
        <w:spacing w:after="60" w:line="288" w:lineRule="auto"/>
      </w:pPr>
      <w:r>
        <w:rPr>
          <w:color w:val="1B2430"/>
          <w:sz w:val="21"/>
        </w:rPr>
        <w:t>Recovery ICU naar CCU/SCU.</w:t>
      </w:r>
    </w:p>
    <w:p>
      <w:pPr>
        <w:pStyle w:val="ListNumber"/>
        <w:spacing w:after="60" w:line="288" w:lineRule="auto"/>
      </w:pPr>
      <w:r>
        <w:rPr>
          <w:color w:val="1B2430"/>
          <w:sz w:val="21"/>
        </w:rPr>
        <w:t>Cardioversies CCU verplaatsen.</w:t>
      </w:r>
    </w:p>
    <w:p>
      <w:pPr>
        <w:pStyle w:val="ListNumber"/>
        <w:spacing w:after="60" w:line="288" w:lineRule="auto"/>
      </w:pPr>
      <w:r>
        <w:rPr>
          <w:color w:val="1B2430"/>
          <w:sz w:val="21"/>
        </w:rPr>
        <w:t>Huidige situatie: ICU, CCU/SCU/EHH en SEH apart.</w:t>
      </w:r>
    </w:p>
    <w:p>
      <w:pPr>
        <w:spacing w:before="0" w:after="120" w:line="300" w:lineRule="auto"/>
      </w:pPr>
    </w:p>
    <w:tbl>
      <w:tblPr>
        <w:tblW w:type="auto" w:w="0"/>
        <w:jc w:val="center"/>
        <w:tblBorders>
          <w:top w:val="single" w:sz="8" w:space="0" w:color="6B3FA0"/>
          <w:left w:val="single" w:sz="8" w:space="0" w:color="6B3FA0"/>
          <w:bottom w:val="single" w:sz="8" w:space="0" w:color="6B3FA0"/>
          <w:right w:val="single" w:sz="8" w:space="0" w:color="6B3FA0"/>
          <w:insideH w:val="single" w:sz="8" w:space="0" w:color="6B3FA0"/>
          <w:insideV w:val="single" w:sz="8" w:space="0" w:color="6B3FA0"/>
        </w:tblBorders>
        <w:tblLook w:firstColumn="1" w:firstRow="1" w:lastColumn="0" w:lastRow="0" w:noHBand="0" w:noVBand="1" w:val="04A0"/>
      </w:tblPr>
      <w:tblGrid>
        <w:gridCol w:w="9298"/>
      </w:tblGrid>
      <w:tr>
        <w:tc>
          <w:tcPr>
            <w:tcW w:type="dxa" w:w="9298"/>
            <w:shd w:val="clear" w:color="auto" w:fill="F0EAF8"/>
          </w:tcPr>
          <w:p>
            <w:pPr>
              <w:spacing w:after="80"/>
            </w:pPr>
            <w:r>
              <w:rPr>
                <w:b/>
                <w:color w:val="6B3FA0"/>
                <w:sz w:val="22"/>
              </w:rPr>
              <w:t>Let op</w:t>
            </w:r>
          </w:p>
          <w:p>
            <w:pPr>
              <w:spacing w:after="40" w:line="288" w:lineRule="auto"/>
            </w:pPr>
            <w:r>
              <w:rPr>
                <w:color w:val="1B2430"/>
                <w:sz w:val="20"/>
              </w:rPr>
              <w:t>De keuze tussen deze scenario's wordt volgens het bord pas gemaakt op basis van data uit BI, niet op basis van aannames.</w:t>
            </w:r>
          </w:p>
        </w:tc>
      </w:tr>
    </w:tbl>
    <w:p>
      <w:pPr>
        <w:spacing w:after="80"/>
      </w:pPr>
    </w:p>
    <w:p>
      <w:r>
        <w:br w:type="page"/>
      </w:r>
    </w:p>
    <w:p>
      <w:pPr>
        <w:pStyle w:val="Heading1"/>
        <w:pBdr>
          <w:bottom w:val="single" w:sz="6" w:space="4" w:color="6B3FA0"/>
        </w:pBdr>
        <w:spacing w:before="360" w:after="120"/>
      </w:pPr>
      <w:r>
        <w:rPr>
          <w:rFonts w:ascii="Calibri" w:hAnsi="Calibri"/>
          <w:color w:val="6B3FA0"/>
          <w:sz w:val="34"/>
        </w:rPr>
        <w:t>6. Twee grote wijzigingen en de analyse</w:t>
      </w:r>
    </w:p>
    <w:p>
      <w:pPr>
        <w:spacing w:before="0" w:after="120" w:line="300" w:lineRule="auto"/>
      </w:pPr>
      <w:r>
        <w:rPr>
          <w:b w:val="0"/>
          <w:i w:val="0"/>
          <w:color w:val="1B2430"/>
          <w:sz w:val="21"/>
        </w:rPr>
        <w:t>Het rechterdeel van het bord bevat de belangrijkste conclusie van de sessie: de twee wijzigingen zijn los van elkaar geanalyseerd, en ze vallen verschillend uit.</w:t>
      </w:r>
    </w:p>
    <w:p>
      <w:pPr>
        <w:spacing w:before="120" w:after="40"/>
        <w:jc w:val="center"/>
      </w:pPr>
      <w:r>
        <w:drawing>
          <wp:inline xmlns:a="http://schemas.openxmlformats.org/drawingml/2006/main" xmlns:pic="http://schemas.openxmlformats.org/drawingml/2006/picture">
            <wp:extent cx="5903999" cy="4681028"/>
            <wp:docPr id="7" name="Picture 7"/>
            <wp:cNvGraphicFramePr>
              <a:graphicFrameLocks noChangeAspect="1"/>
            </wp:cNvGraphicFramePr>
            <a:graphic>
              <a:graphicData uri="http://schemas.openxmlformats.org/drawingml/2006/picture">
                <pic:pic>
                  <pic:nvPicPr>
                    <pic:cNvPr id="0" name="fig07_wijzigingen.png"/>
                    <pic:cNvPicPr/>
                  </pic:nvPicPr>
                  <pic:blipFill>
                    <a:blip r:embed="rId16"/>
                    <a:stretch>
                      <a:fillRect/>
                    </a:stretch>
                  </pic:blipFill>
                  <pic:spPr>
                    <a:xfrm>
                      <a:off x="0" y="0"/>
                      <a:ext cx="5903999" cy="4681028"/>
                    </a:xfrm>
                    <a:prstGeom prst="rect"/>
                  </pic:spPr>
                </pic:pic>
              </a:graphicData>
            </a:graphic>
          </wp:inline>
        </w:drawing>
      </w:r>
    </w:p>
    <w:p>
      <w:pPr>
        <w:spacing w:after="240"/>
        <w:jc w:val="center"/>
      </w:pPr>
      <w:r>
        <w:rPr>
          <w:i/>
          <w:color w:val="5A6472"/>
          <w:sz w:val="18"/>
        </w:rPr>
        <w:t>Figuur 7 - Analyse van de acute poort en de Hotfloor, en de EHH-vraag die beide raakt</w:t>
      </w:r>
    </w:p>
    <w:p>
      <w:pPr>
        <w:pStyle w:val="Heading2"/>
        <w:spacing w:before="240" w:after="120"/>
      </w:pPr>
      <w:r>
        <w:rPr>
          <w:rFonts w:ascii="Calibri" w:hAnsi="Calibri"/>
          <w:color w:val="6B3FA0"/>
          <w:sz w:val="26"/>
        </w:rPr>
        <w:t>Wat staat er op het bord</w:t>
      </w:r>
    </w:p>
    <w:p>
      <w:pPr>
        <w:pStyle w:val="ListBullet"/>
        <w:spacing w:after="60" w:line="288" w:lineRule="auto"/>
      </w:pPr>
      <w:r>
        <w:rPr>
          <w:color w:val="1B2430"/>
          <w:sz w:val="21"/>
        </w:rPr>
        <w:t>Wijziging 1: acute poort - drie stromen worden één poort.</w:t>
      </w:r>
    </w:p>
    <w:p>
      <w:pPr>
        <w:pStyle w:val="ListBullet"/>
        <w:spacing w:after="60" w:line="288" w:lineRule="auto"/>
      </w:pPr>
      <w:r>
        <w:rPr>
          <w:color w:val="1B2430"/>
          <w:sz w:val="21"/>
        </w:rPr>
        <w:t>Wijziging 2: Hotfloor - ICU, CCU en SCU samen.</w:t>
      </w:r>
    </w:p>
    <w:p>
      <w:pPr>
        <w:pStyle w:val="ListBullet"/>
        <w:spacing w:after="60" w:line="288" w:lineRule="auto"/>
      </w:pPr>
      <w:r>
        <w:rPr>
          <w:color w:val="1B2430"/>
          <w:sz w:val="21"/>
        </w:rPr>
        <w:t>Analyse: één acute poort past niet voor kind, EHH en SEH samen.</w:t>
      </w:r>
    </w:p>
    <w:p>
      <w:pPr>
        <w:pStyle w:val="ListBullet"/>
        <w:spacing w:after="60" w:line="288" w:lineRule="auto"/>
      </w:pPr>
      <w:r>
        <w:rPr>
          <w:color w:val="1B2430"/>
          <w:sz w:val="21"/>
        </w:rPr>
        <w:t>Vervolg: analyse op dag- en uurniveau, jaarpatroon, data is beschikbaar, vervolgactie bepalen.</w:t>
      </w:r>
    </w:p>
    <w:p>
      <w:pPr>
        <w:pStyle w:val="ListBullet"/>
        <w:spacing w:after="60" w:line="288" w:lineRule="auto"/>
      </w:pPr>
      <w:r>
        <w:rPr>
          <w:color w:val="1B2430"/>
          <w:sz w:val="21"/>
        </w:rPr>
        <w:t>Doel: de zorg past fysiek op de nieuwe SEH.</w:t>
      </w:r>
    </w:p>
    <w:p>
      <w:pPr>
        <w:pStyle w:val="ListBullet"/>
        <w:spacing w:after="60" w:line="288" w:lineRule="auto"/>
      </w:pPr>
      <w:r>
        <w:rPr>
          <w:color w:val="1B2430"/>
          <w:sz w:val="21"/>
        </w:rPr>
        <w:t>Analyse: Hotfloor op 16 bedden past wél. Openstaand: weigeringskans en de vraag of de EHH apart komt.</w:t>
      </w:r>
    </w:p>
    <w:p>
      <w:pPr>
        <w:pStyle w:val="ListBullet"/>
        <w:spacing w:after="60" w:line="288" w:lineRule="auto"/>
      </w:pPr>
      <w:r>
        <w:rPr>
          <w:color w:val="1B2430"/>
          <w:sz w:val="21"/>
        </w:rPr>
        <w:t>Waar valt de EHH onder - bij 1 of bij 2? Daaruit volgen analyse, knelpunten en acties.</w:t>
      </w:r>
    </w:p>
    <w:p>
      <w:r>
        <w:br w:type="page"/>
      </w:r>
    </w:p>
    <w:p>
      <w:pPr>
        <w:pStyle w:val="Heading1"/>
        <w:pBdr>
          <w:bottom w:val="single" w:sz="6" w:space="4" w:color="1F5FA8"/>
        </w:pBdr>
        <w:spacing w:before="360" w:after="120"/>
      </w:pPr>
      <w:r>
        <w:rPr>
          <w:rFonts w:ascii="Calibri" w:hAnsi="Calibri"/>
          <w:color w:val="1F5FA8"/>
          <w:sz w:val="34"/>
        </w:rPr>
        <w:t>7. Patiëntstromen per afdeling</w:t>
      </w:r>
    </w:p>
    <w:p>
      <w:pPr>
        <w:spacing w:before="0" w:after="120" w:line="300" w:lineRule="auto"/>
      </w:pPr>
      <w:r>
        <w:rPr>
          <w:b w:val="0"/>
          <w:i w:val="0"/>
          <w:color w:val="1B2430"/>
          <w:sz w:val="21"/>
        </w:rPr>
        <w:t>Om het aantal bedden te kunnen berekenen, is per afdeling uitgesplitst welke patiëntstromen erin zitten.</w:t>
      </w:r>
    </w:p>
    <w:p>
      <w:pPr>
        <w:spacing w:before="120" w:after="40"/>
        <w:jc w:val="center"/>
      </w:pPr>
      <w:r>
        <w:drawing>
          <wp:inline xmlns:a="http://schemas.openxmlformats.org/drawingml/2006/main" xmlns:pic="http://schemas.openxmlformats.org/drawingml/2006/picture">
            <wp:extent cx="5903999" cy="3415885"/>
            <wp:docPr id="8" name="Picture 8"/>
            <wp:cNvGraphicFramePr>
              <a:graphicFrameLocks noChangeAspect="1"/>
            </wp:cNvGraphicFramePr>
            <a:graphic>
              <a:graphicData uri="http://schemas.openxmlformats.org/drawingml/2006/picture">
                <pic:pic>
                  <pic:nvPicPr>
                    <pic:cNvPr id="0" name="fig08_stromen.png"/>
                    <pic:cNvPicPr/>
                  </pic:nvPicPr>
                  <pic:blipFill>
                    <a:blip r:embed="rId17"/>
                    <a:stretch>
                      <a:fillRect/>
                    </a:stretch>
                  </pic:blipFill>
                  <pic:spPr>
                    <a:xfrm>
                      <a:off x="0" y="0"/>
                      <a:ext cx="5903999" cy="3415885"/>
                    </a:xfrm>
                    <a:prstGeom prst="rect"/>
                  </pic:spPr>
                </pic:pic>
              </a:graphicData>
            </a:graphic>
          </wp:inline>
        </w:drawing>
      </w:r>
    </w:p>
    <w:p>
      <w:pPr>
        <w:spacing w:after="240"/>
        <w:jc w:val="center"/>
      </w:pPr>
      <w:r>
        <w:rPr>
          <w:i/>
          <w:color w:val="5A6472"/>
          <w:sz w:val="18"/>
        </w:rPr>
        <w:t>Figuur 8 - Patiëntstromen die in de berekening meegenomen worden</w:t>
      </w:r>
    </w:p>
    <w:p>
      <w:pPr>
        <w:pStyle w:val="Heading2"/>
        <w:spacing w:before="240" w:after="120"/>
      </w:pPr>
      <w:r>
        <w:rPr>
          <w:rFonts w:ascii="Calibri" w:hAnsi="Calibri"/>
          <w:color w:val="1F5FA8"/>
          <w:sz w:val="26"/>
        </w:rPr>
        <w:t>Wat staat er op het bord</w:t>
      </w:r>
    </w:p>
    <w:p>
      <w:pPr>
        <w:pStyle w:val="ListBullet"/>
        <w:spacing w:after="60" w:line="288" w:lineRule="auto"/>
      </w:pPr>
      <w:r>
        <w:rPr>
          <w:color w:val="1B2430"/>
          <w:sz w:val="21"/>
        </w:rPr>
        <w:t>ICU: spoed, electief, recovery.</w:t>
      </w:r>
    </w:p>
    <w:p>
      <w:pPr>
        <w:pStyle w:val="ListBullet"/>
        <w:spacing w:after="60" w:line="288" w:lineRule="auto"/>
      </w:pPr>
      <w:r>
        <w:rPr>
          <w:color w:val="1B2430"/>
          <w:sz w:val="21"/>
        </w:rPr>
        <w:t>CCU: spoed, cardioversie.</w:t>
      </w:r>
    </w:p>
    <w:p>
      <w:pPr>
        <w:pStyle w:val="ListBullet"/>
        <w:spacing w:after="60" w:line="288" w:lineRule="auto"/>
      </w:pPr>
      <w:r>
        <w:rPr>
          <w:color w:val="1B2430"/>
          <w:sz w:val="21"/>
        </w:rPr>
        <w:t>SCU: spoed.</w:t>
      </w:r>
    </w:p>
    <w:p>
      <w:pPr>
        <w:pStyle w:val="ListBullet"/>
        <w:spacing w:after="60" w:line="288" w:lineRule="auto"/>
      </w:pPr>
      <w:r>
        <w:rPr>
          <w:color w:val="1B2430"/>
          <w:sz w:val="21"/>
        </w:rPr>
        <w:t>EHH: spoed.</w:t>
      </w:r>
    </w:p>
    <w:p>
      <w:pPr>
        <w:pStyle w:val="ListBullet"/>
        <w:spacing w:after="60" w:line="288" w:lineRule="auto"/>
      </w:pPr>
      <w:r>
        <w:rPr>
          <w:color w:val="1B2430"/>
          <w:sz w:val="21"/>
        </w:rPr>
        <w:t>SEH: scenario's van Maxim en Sigrid.</w:t>
      </w:r>
    </w:p>
    <w:p>
      <w:r>
        <w:br w:type="page"/>
      </w:r>
    </w:p>
    <w:p>
      <w:pPr>
        <w:pStyle w:val="Heading1"/>
        <w:pBdr>
          <w:bottom w:val="single" w:sz="6" w:space="4" w:color="1F5FA8"/>
        </w:pBdr>
        <w:spacing w:before="360" w:after="120"/>
      </w:pPr>
      <w:r>
        <w:rPr>
          <w:rFonts w:ascii="Calibri" w:hAnsi="Calibri"/>
          <w:color w:val="1F5FA8"/>
          <w:sz w:val="34"/>
        </w:rPr>
        <w:t>8. Stand van zaken per afdeling</w:t>
      </w:r>
    </w:p>
    <w:p>
      <w:pPr>
        <w:spacing w:before="0" w:after="120" w:line="300" w:lineRule="auto"/>
      </w:pPr>
      <w:r>
        <w:rPr>
          <w:b w:val="0"/>
          <w:i w:val="0"/>
          <w:color w:val="1B2430"/>
          <w:sz w:val="21"/>
        </w:rPr>
        <w:t>De tabel linksboven op het bord laat zien dat de basis nog grotendeels ontbreekt: op één afdeling na is er geen jaarplan ingevoerd, en er is voor geen enkele afdeling een vastgestelde norm verpleegkundigen.</w:t>
      </w:r>
    </w:p>
    <w:tbl>
      <w:tblPr>
        <w:tblW w:type="auto" w:w="0"/>
        <w:jc w:val="center"/>
        <w:tblBorders>
          <w:top w:val="single" w:sz="4" w:space="0" w:color="B9C4D2"/>
          <w:left w:val="single" w:sz="4" w:space="0" w:color="B9C4D2"/>
          <w:bottom w:val="single" w:sz="4" w:space="0" w:color="B9C4D2"/>
          <w:right w:val="single" w:sz="4" w:space="0" w:color="B9C4D2"/>
          <w:insideH w:val="single" w:sz="4" w:space="0" w:color="B9C4D2"/>
          <w:insideV w:val="single" w:sz="4" w:space="0" w:color="B9C4D2"/>
        </w:tblBorders>
        <w:tblLook w:firstColumn="1" w:firstRow="1" w:lastColumn="0" w:lastRow="0" w:noHBand="0" w:noVBand="1" w:val="04A0"/>
      </w:tblPr>
      <w:tblGrid>
        <w:gridCol w:w="1550"/>
        <w:gridCol w:w="1550"/>
        <w:gridCol w:w="1550"/>
        <w:gridCol w:w="1550"/>
        <w:gridCol w:w="1550"/>
        <w:gridCol w:w="1550"/>
      </w:tblGrid>
      <w:tr>
        <w:tc>
          <w:tcPr>
            <w:tcW w:type="dxa" w:w="1701"/>
            <w:shd w:val="clear" w:color="auto" w:fill="1F5FA8"/>
          </w:tcPr>
          <w:p>
            <w:pPr>
              <w:spacing w:after="40"/>
            </w:pPr>
            <w:r>
              <w:rPr>
                <w:b/>
                <w:color w:val="FFFFFF"/>
                <w:sz w:val="18"/>
              </w:rPr>
              <w:t>Afdeling</w:t>
            </w:r>
          </w:p>
        </w:tc>
        <w:tc>
          <w:tcPr>
            <w:tcW w:type="dxa" w:w="907"/>
            <w:shd w:val="clear" w:color="auto" w:fill="1F5FA8"/>
          </w:tcPr>
          <w:p>
            <w:pPr>
              <w:spacing w:after="40"/>
            </w:pPr>
            <w:r>
              <w:rPr>
                <w:b/>
                <w:color w:val="FFFFFF"/>
                <w:sz w:val="18"/>
              </w:rPr>
              <w:t>Aantal</w:t>
            </w:r>
          </w:p>
        </w:tc>
        <w:tc>
          <w:tcPr>
            <w:tcW w:type="dxa" w:w="1587"/>
            <w:shd w:val="clear" w:color="auto" w:fill="1F5FA8"/>
          </w:tcPr>
          <w:p>
            <w:pPr>
              <w:spacing w:after="40"/>
            </w:pPr>
            <w:r>
              <w:rPr>
                <w:b/>
                <w:color w:val="FFFFFF"/>
                <w:sz w:val="18"/>
              </w:rPr>
              <w:t>Jaarplan?</w:t>
            </w:r>
          </w:p>
        </w:tc>
        <w:tc>
          <w:tcPr>
            <w:tcW w:type="dxa" w:w="1134"/>
            <w:shd w:val="clear" w:color="auto" w:fill="1F5FA8"/>
          </w:tcPr>
          <w:p>
            <w:pPr>
              <w:spacing w:after="40"/>
            </w:pPr>
            <w:r>
              <w:rPr>
                <w:b/>
                <w:color w:val="FFFFFF"/>
                <w:sz w:val="18"/>
              </w:rPr>
              <w:t>Norm vpk?</w:t>
            </w:r>
          </w:p>
        </w:tc>
        <w:tc>
          <w:tcPr>
            <w:tcW w:type="dxa" w:w="2041"/>
            <w:shd w:val="clear" w:color="auto" w:fill="1F5FA8"/>
          </w:tcPr>
          <w:p>
            <w:pPr>
              <w:spacing w:after="40"/>
            </w:pPr>
            <w:r>
              <w:rPr>
                <w:b/>
                <w:color w:val="FFFFFF"/>
                <w:sz w:val="18"/>
              </w:rPr>
              <w:t>Huidige inzet</w:t>
            </w:r>
          </w:p>
        </w:tc>
        <w:tc>
          <w:tcPr>
            <w:tcW w:type="dxa" w:w="1928"/>
            <w:shd w:val="clear" w:color="auto" w:fill="1F5FA8"/>
          </w:tcPr>
          <w:p>
            <w:pPr>
              <w:spacing w:after="40"/>
            </w:pPr>
            <w:r>
              <w:rPr>
                <w:b/>
                <w:color w:val="FFFFFF"/>
                <w:sz w:val="18"/>
              </w:rPr>
              <w:t>Omgerekende norm huidig</w:t>
            </w:r>
          </w:p>
        </w:tc>
      </w:tr>
      <w:tr>
        <w:tc>
          <w:tcPr>
            <w:tcW w:type="dxa" w:w="1701"/>
            <w:shd w:val="clear" w:color="auto" w:fill="F2F4F7"/>
          </w:tcPr>
          <w:p>
            <w:pPr>
              <w:spacing w:after="40"/>
            </w:pPr>
            <w:r>
              <w:rPr>
                <w:b/>
                <w:sz w:val="18"/>
              </w:rPr>
              <w:t>ICU</w:t>
            </w:r>
          </w:p>
        </w:tc>
        <w:tc>
          <w:tcPr>
            <w:tcW w:type="dxa" w:w="907"/>
            <w:shd w:val="clear" w:color="auto" w:fill="F2F4F7"/>
          </w:tcPr>
          <w:p>
            <w:pPr>
              <w:spacing w:after="40"/>
            </w:pPr>
            <w:r>
              <w:rPr>
                <w:b w:val="0"/>
                <w:sz w:val="18"/>
              </w:rPr>
              <w:t>10</w:t>
            </w:r>
          </w:p>
        </w:tc>
        <w:tc>
          <w:tcPr>
            <w:tcW w:type="dxa" w:w="1587"/>
            <w:shd w:val="clear" w:color="auto" w:fill="F2F4F7"/>
          </w:tcPr>
          <w:p>
            <w:pPr>
              <w:spacing w:after="40"/>
            </w:pPr>
            <w:r>
              <w:rPr>
                <w:b w:val="0"/>
                <w:color w:val="D2691E"/>
                <w:sz w:val="18"/>
              </w:rPr>
              <w:t>nee</w:t>
            </w:r>
          </w:p>
        </w:tc>
        <w:tc>
          <w:tcPr>
            <w:tcW w:type="dxa" w:w="1134"/>
            <w:shd w:val="clear" w:color="auto" w:fill="F2F4F7"/>
          </w:tcPr>
          <w:p>
            <w:pPr>
              <w:spacing w:after="40"/>
            </w:pPr>
            <w:r>
              <w:rPr>
                <w:b w:val="0"/>
                <w:color w:val="D2691E"/>
                <w:sz w:val="18"/>
              </w:rPr>
              <w:t>nee</w:t>
            </w:r>
          </w:p>
        </w:tc>
        <w:tc>
          <w:tcPr>
            <w:tcW w:type="dxa" w:w="2041"/>
            <w:shd w:val="clear" w:color="auto" w:fill="F2F4F7"/>
          </w:tcPr>
          <w:p>
            <w:pPr>
              <w:spacing w:after="40"/>
            </w:pPr>
            <w:r>
              <w:rPr>
                <w:b w:val="0"/>
                <w:sz w:val="18"/>
              </w:rPr>
              <w:t>Dag - Laat - Nacht</w:t>
            </w:r>
          </w:p>
        </w:tc>
        <w:tc>
          <w:tcPr>
            <w:tcW w:type="dxa" w:w="1928"/>
            <w:shd w:val="clear" w:color="auto" w:fill="F2F4F7"/>
          </w:tcPr>
          <w:p>
            <w:pPr>
              <w:spacing w:after="40"/>
            </w:pPr>
            <w:r>
              <w:rPr>
                <w:b w:val="0"/>
                <w:sz w:val="18"/>
              </w:rPr>
              <w:t>D: ___  L: ___  N: ___</w:t>
            </w:r>
          </w:p>
        </w:tc>
      </w:tr>
      <w:tr>
        <w:tc>
          <w:tcPr>
            <w:tcW w:type="dxa" w:w="1701"/>
          </w:tcPr>
          <w:p>
            <w:pPr>
              <w:spacing w:after="40"/>
            </w:pPr>
            <w:r>
              <w:rPr>
                <w:b/>
                <w:sz w:val="18"/>
              </w:rPr>
              <w:t>CCU / SCU / EHH</w:t>
            </w:r>
          </w:p>
        </w:tc>
        <w:tc>
          <w:tcPr>
            <w:tcW w:type="dxa" w:w="907"/>
          </w:tcPr>
          <w:p>
            <w:pPr>
              <w:spacing w:after="40"/>
            </w:pPr>
            <w:r>
              <w:rPr>
                <w:b w:val="0"/>
                <w:sz w:val="18"/>
              </w:rPr>
              <w:t>15</w:t>
            </w:r>
          </w:p>
        </w:tc>
        <w:tc>
          <w:tcPr>
            <w:tcW w:type="dxa" w:w="1587"/>
          </w:tcPr>
          <w:p>
            <w:pPr>
              <w:spacing w:after="40"/>
            </w:pPr>
            <w:r>
              <w:rPr>
                <w:b w:val="0"/>
                <w:sz w:val="18"/>
              </w:rPr>
              <w:t>ja, niet ingevoerd</w:t>
            </w:r>
          </w:p>
        </w:tc>
        <w:tc>
          <w:tcPr>
            <w:tcW w:type="dxa" w:w="1134"/>
          </w:tcPr>
          <w:p>
            <w:pPr>
              <w:spacing w:after="40"/>
            </w:pPr>
            <w:r>
              <w:rPr>
                <w:b w:val="0"/>
                <w:color w:val="D2691E"/>
                <w:sz w:val="18"/>
              </w:rPr>
              <w:t>nee</w:t>
            </w:r>
          </w:p>
        </w:tc>
        <w:tc>
          <w:tcPr>
            <w:tcW w:type="dxa" w:w="2041"/>
          </w:tcPr>
          <w:p>
            <w:pPr>
              <w:spacing w:after="40"/>
            </w:pPr>
            <w:r>
              <w:rPr>
                <w:b w:val="0"/>
                <w:sz w:val="18"/>
              </w:rPr>
              <w:t>Dag - Laat - Nacht</w:t>
            </w:r>
          </w:p>
        </w:tc>
        <w:tc>
          <w:tcPr>
            <w:tcW w:type="dxa" w:w="1928"/>
          </w:tcPr>
          <w:p>
            <w:pPr>
              <w:spacing w:after="40"/>
            </w:pPr>
            <w:r>
              <w:rPr>
                <w:b w:val="0"/>
                <w:sz w:val="18"/>
              </w:rPr>
              <w:t>D: ___  L: ___  N: ___</w:t>
            </w:r>
          </w:p>
        </w:tc>
      </w:tr>
      <w:tr>
        <w:tc>
          <w:tcPr>
            <w:tcW w:type="dxa" w:w="1701"/>
            <w:shd w:val="clear" w:color="auto" w:fill="F2F4F7"/>
          </w:tcPr>
          <w:p>
            <w:pPr>
              <w:spacing w:after="40"/>
            </w:pPr>
            <w:r>
              <w:rPr>
                <w:b/>
                <w:sz w:val="18"/>
              </w:rPr>
              <w:t>SEH</w:t>
            </w:r>
          </w:p>
        </w:tc>
        <w:tc>
          <w:tcPr>
            <w:tcW w:type="dxa" w:w="907"/>
            <w:shd w:val="clear" w:color="auto" w:fill="F2F4F7"/>
          </w:tcPr>
          <w:p>
            <w:pPr>
              <w:spacing w:after="40"/>
            </w:pPr>
            <w:r>
              <w:rPr>
                <w:b w:val="0"/>
                <w:sz w:val="18"/>
              </w:rPr>
              <w:t>-</w:t>
            </w:r>
          </w:p>
        </w:tc>
        <w:tc>
          <w:tcPr>
            <w:tcW w:type="dxa" w:w="1587"/>
            <w:shd w:val="clear" w:color="auto" w:fill="F2F4F7"/>
          </w:tcPr>
          <w:p>
            <w:pPr>
              <w:spacing w:after="40"/>
            </w:pPr>
            <w:r>
              <w:rPr>
                <w:b w:val="0"/>
                <w:sz w:val="18"/>
              </w:rPr>
              <w:t>-</w:t>
            </w:r>
          </w:p>
        </w:tc>
        <w:tc>
          <w:tcPr>
            <w:tcW w:type="dxa" w:w="1134"/>
            <w:shd w:val="clear" w:color="auto" w:fill="F2F4F7"/>
          </w:tcPr>
          <w:p>
            <w:pPr>
              <w:spacing w:after="40"/>
            </w:pPr>
            <w:r>
              <w:rPr>
                <w:b w:val="0"/>
                <w:color w:val="D2691E"/>
                <w:sz w:val="18"/>
              </w:rPr>
              <w:t>nee</w:t>
            </w:r>
          </w:p>
        </w:tc>
        <w:tc>
          <w:tcPr>
            <w:tcW w:type="dxa" w:w="2041"/>
            <w:shd w:val="clear" w:color="auto" w:fill="F2F4F7"/>
          </w:tcPr>
          <w:p>
            <w:pPr>
              <w:spacing w:after="40"/>
            </w:pPr>
            <w:r>
              <w:rPr>
                <w:b w:val="0"/>
                <w:sz w:val="18"/>
              </w:rPr>
              <w:t>Dag - Tussen - Laat - Nacht</w:t>
            </w:r>
          </w:p>
        </w:tc>
        <w:tc>
          <w:tcPr>
            <w:tcW w:type="dxa" w:w="1928"/>
            <w:shd w:val="clear" w:color="auto" w:fill="F2F4F7"/>
          </w:tcPr>
          <w:p>
            <w:pPr>
              <w:spacing w:after="40"/>
            </w:pPr>
            <w:r>
              <w:rPr>
                <w:b w:val="0"/>
                <w:sz w:val="18"/>
              </w:rPr>
              <w:t>D: ___  T: ___  L: ___  N: ___</w:t>
            </w:r>
          </w:p>
        </w:tc>
      </w:tr>
      <w:tr>
        <w:tc>
          <w:tcPr>
            <w:tcW w:type="dxa" w:w="1701"/>
          </w:tcPr>
          <w:p>
            <w:pPr>
              <w:spacing w:after="40"/>
            </w:pPr>
            <w:r>
              <w:rPr>
                <w:b/>
                <w:sz w:val="18"/>
              </w:rPr>
              <w:t>Kind spoed</w:t>
            </w:r>
          </w:p>
        </w:tc>
        <w:tc>
          <w:tcPr>
            <w:tcW w:type="dxa" w:w="907"/>
          </w:tcPr>
          <w:p>
            <w:pPr>
              <w:spacing w:after="40"/>
            </w:pPr>
            <w:r>
              <w:rPr>
                <w:b w:val="0"/>
                <w:sz w:val="18"/>
              </w:rPr>
              <w:t>-</w:t>
            </w:r>
          </w:p>
        </w:tc>
        <w:tc>
          <w:tcPr>
            <w:tcW w:type="dxa" w:w="1587"/>
          </w:tcPr>
          <w:p>
            <w:pPr>
              <w:spacing w:after="40"/>
            </w:pPr>
            <w:r>
              <w:rPr>
                <w:b w:val="0"/>
                <w:color w:val="D2691E"/>
                <w:sz w:val="18"/>
              </w:rPr>
              <w:t>nee</w:t>
            </w:r>
          </w:p>
        </w:tc>
        <w:tc>
          <w:tcPr>
            <w:tcW w:type="dxa" w:w="1134"/>
          </w:tcPr>
          <w:p>
            <w:pPr>
              <w:spacing w:after="40"/>
            </w:pPr>
            <w:r>
              <w:rPr>
                <w:b w:val="0"/>
                <w:color w:val="D2691E"/>
                <w:sz w:val="18"/>
              </w:rPr>
              <w:t>?</w:t>
            </w:r>
          </w:p>
        </w:tc>
        <w:tc>
          <w:tcPr>
            <w:tcW w:type="dxa" w:w="2041"/>
          </w:tcPr>
          <w:p>
            <w:pPr>
              <w:spacing w:after="40"/>
            </w:pPr>
            <w:r>
              <w:rPr>
                <w:b w:val="0"/>
                <w:color w:val="D2691E"/>
                <w:sz w:val="18"/>
              </w:rPr>
              <w:t>?</w:t>
            </w:r>
          </w:p>
        </w:tc>
        <w:tc>
          <w:tcPr>
            <w:tcW w:type="dxa" w:w="1928"/>
          </w:tcPr>
          <w:p>
            <w:pPr>
              <w:spacing w:after="40"/>
            </w:pPr>
            <w:r>
              <w:rPr>
                <w:b w:val="0"/>
                <w:color w:val="D2691E"/>
                <w:sz w:val="18"/>
              </w:rPr>
              <w:t>?</w:t>
            </w:r>
          </w:p>
        </w:tc>
      </w:tr>
    </w:tbl>
    <w:p>
      <w:pPr>
        <w:spacing w:before="0" w:after="120" w:line="300" w:lineRule="auto"/>
      </w:pPr>
    </w:p>
    <w:tbl>
      <w:tblPr>
        <w:tblW w:type="auto" w:w="0"/>
        <w:jc w:val="center"/>
        <w:tblBorders>
          <w:top w:val="single" w:sz="8" w:space="0" w:color="D2691E"/>
          <w:left w:val="single" w:sz="8" w:space="0" w:color="D2691E"/>
          <w:bottom w:val="single" w:sz="8" w:space="0" w:color="D2691E"/>
          <w:right w:val="single" w:sz="8" w:space="0" w:color="D2691E"/>
          <w:insideH w:val="single" w:sz="8" w:space="0" w:color="D2691E"/>
          <w:insideV w:val="single" w:sz="8" w:space="0" w:color="D2691E"/>
        </w:tblBorders>
        <w:tblLook w:firstColumn="1" w:firstRow="1" w:lastColumn="0" w:lastRow="0" w:noHBand="0" w:noVBand="1" w:val="04A0"/>
      </w:tblPr>
      <w:tblGrid>
        <w:gridCol w:w="9298"/>
      </w:tblGrid>
      <w:tr>
        <w:tc>
          <w:tcPr>
            <w:tcW w:type="dxa" w:w="9298"/>
            <w:shd w:val="clear" w:color="auto" w:fill="FBEEE3"/>
          </w:tcPr>
          <w:p>
            <w:pPr>
              <w:spacing w:after="80"/>
            </w:pPr>
            <w:r>
              <w:rPr>
                <w:b/>
                <w:color w:val="D2691E"/>
                <w:sz w:val="22"/>
              </w:rPr>
              <w:t>Wat hier uit volgt</w:t>
            </w:r>
          </w:p>
          <w:p>
            <w:pPr>
              <w:spacing w:after="40" w:line="288" w:lineRule="auto"/>
            </w:pPr>
            <w:r>
              <w:rPr>
                <w:color w:val="1B2430"/>
                <w:sz w:val="20"/>
              </w:rPr>
              <w:t>Voor geen enkele afdeling is de norm verpleegkundigen vastgesteld.</w:t>
            </w:r>
          </w:p>
          <w:p>
            <w:pPr>
              <w:spacing w:after="40" w:line="288" w:lineRule="auto"/>
            </w:pPr>
            <w:r>
              <w:rPr>
                <w:color w:val="1B2430"/>
                <w:sz w:val="20"/>
              </w:rPr>
              <w:t>Alleen CCU/SCU/EHH heeft een jaarplan, en dat is niet ingevoerd.</w:t>
            </w:r>
          </w:p>
          <w:p>
            <w:pPr>
              <w:spacing w:after="40" w:line="288" w:lineRule="auto"/>
            </w:pPr>
            <w:r>
              <w:rPr>
                <w:color w:val="1B2430"/>
                <w:sz w:val="20"/>
              </w:rPr>
              <w:t>Voor kind spoed ontbreken de gegevens nog helemaal.</w:t>
            </w:r>
          </w:p>
          <w:p>
            <w:pPr>
              <w:spacing w:after="40" w:line="288" w:lineRule="auto"/>
            </w:pPr>
            <w:r>
              <w:rPr>
                <w:color w:val="1B2430"/>
                <w:sz w:val="20"/>
              </w:rPr>
              <w:t>De gewenste norm (kolom 'gewenste norm Remco' op het bord) moet nog ingevuld worden voor ICU, CCU/SCU/EHH en SEH.</w:t>
            </w:r>
          </w:p>
        </w:tc>
      </w:tr>
    </w:tbl>
    <w:p>
      <w:pPr>
        <w:spacing w:after="80"/>
      </w:pPr>
    </w:p>
    <w:p>
      <w:r>
        <w:br w:type="page"/>
      </w:r>
    </w:p>
    <w:p>
      <w:pPr>
        <w:pStyle w:val="Heading1"/>
        <w:pBdr>
          <w:bottom w:val="single" w:sz="6" w:space="4" w:color="D2691E"/>
        </w:pBdr>
        <w:spacing w:before="360" w:after="120"/>
      </w:pPr>
      <w:r>
        <w:rPr>
          <w:rFonts w:ascii="Calibri" w:hAnsi="Calibri"/>
          <w:color w:val="D2691E"/>
          <w:sz w:val="34"/>
        </w:rPr>
        <w:t>9. Openstaande vragen</w:t>
      </w:r>
    </w:p>
    <w:p>
      <w:pPr>
        <w:spacing w:before="0" w:after="120" w:line="300" w:lineRule="auto"/>
      </w:pPr>
      <w:r>
        <w:rPr>
          <w:b w:val="0"/>
          <w:i w:val="0"/>
          <w:color w:val="1B2430"/>
          <w:sz w:val="21"/>
        </w:rPr>
        <w:t>De openstaande vragen op het bord vallen uiteen in twee sporen: vragen over de fysieke planning en vragen over de personele inzet.</w:t>
      </w:r>
    </w:p>
    <w:p>
      <w:pPr>
        <w:spacing w:before="120" w:after="40"/>
        <w:jc w:val="center"/>
      </w:pPr>
      <w:r>
        <w:drawing>
          <wp:inline xmlns:a="http://schemas.openxmlformats.org/drawingml/2006/main" xmlns:pic="http://schemas.openxmlformats.org/drawingml/2006/picture">
            <wp:extent cx="5903999" cy="3795428"/>
            <wp:docPr id="9" name="Picture 9"/>
            <wp:cNvGraphicFramePr>
              <a:graphicFrameLocks noChangeAspect="1"/>
            </wp:cNvGraphicFramePr>
            <a:graphic>
              <a:graphicData uri="http://schemas.openxmlformats.org/drawingml/2006/picture">
                <pic:pic>
                  <pic:nvPicPr>
                    <pic:cNvPr id="0" name="fig09_vragen.png"/>
                    <pic:cNvPicPr/>
                  </pic:nvPicPr>
                  <pic:blipFill>
                    <a:blip r:embed="rId18"/>
                    <a:stretch>
                      <a:fillRect/>
                    </a:stretch>
                  </pic:blipFill>
                  <pic:spPr>
                    <a:xfrm>
                      <a:off x="0" y="0"/>
                      <a:ext cx="5903999" cy="3795428"/>
                    </a:xfrm>
                    <a:prstGeom prst="rect"/>
                  </pic:spPr>
                </pic:pic>
              </a:graphicData>
            </a:graphic>
          </wp:inline>
        </w:drawing>
      </w:r>
    </w:p>
    <w:p>
      <w:pPr>
        <w:spacing w:after="240"/>
        <w:jc w:val="center"/>
      </w:pPr>
      <w:r>
        <w:rPr>
          <w:i/>
          <w:color w:val="5A6472"/>
          <w:sz w:val="18"/>
        </w:rPr>
        <w:t>Figuur 9 - Openstaande vragen langs twee sporen</w:t>
      </w:r>
    </w:p>
    <w:p>
      <w:pPr>
        <w:pStyle w:val="Heading2"/>
        <w:spacing w:before="240" w:after="120"/>
      </w:pPr>
      <w:r>
        <w:rPr>
          <w:rFonts w:ascii="Calibri" w:hAnsi="Calibri"/>
          <w:color w:val="1F5FA8"/>
          <w:sz w:val="26"/>
        </w:rPr>
        <w:t>Fysieke planning</w:t>
      </w:r>
    </w:p>
    <w:p>
      <w:pPr>
        <w:pStyle w:val="ListNumber"/>
        <w:spacing w:after="60" w:line="288" w:lineRule="auto"/>
      </w:pPr>
      <w:r>
        <w:rPr>
          <w:color w:val="1B2430"/>
          <w:sz w:val="21"/>
        </w:rPr>
        <w:t>Waar komt de recoverypatiënt in avond, nacht en weekend?</w:t>
      </w:r>
    </w:p>
    <w:p>
      <w:pPr>
        <w:pStyle w:val="ListNumber"/>
        <w:spacing w:after="60" w:line="288" w:lineRule="auto"/>
      </w:pPr>
      <w:r>
        <w:rPr>
          <w:color w:val="1B2430"/>
          <w:sz w:val="21"/>
        </w:rPr>
        <w:t>Waar komt de cardioversie?</w:t>
      </w:r>
    </w:p>
    <w:p>
      <w:pPr>
        <w:pStyle w:val="ListNumber"/>
        <w:spacing w:after="60" w:line="288" w:lineRule="auto"/>
      </w:pPr>
      <w:r>
        <w:rPr>
          <w:color w:val="1B2430"/>
          <w:sz w:val="21"/>
        </w:rPr>
        <w:t>Hoort de EHH bij de SEH of bij de Hotfloor?</w:t>
      </w:r>
    </w:p>
    <w:p>
      <w:pPr>
        <w:pStyle w:val="ListNumber"/>
        <w:spacing w:after="60" w:line="288" w:lineRule="auto"/>
      </w:pPr>
      <w:r>
        <w:rPr>
          <w:color w:val="1B2430"/>
          <w:sz w:val="21"/>
        </w:rPr>
        <w:t>Komt de OSAS post-OK patiënt nog op de ICU?</w:t>
      </w:r>
    </w:p>
    <w:p>
      <w:pPr>
        <w:pStyle w:val="Heading2"/>
        <w:spacing w:before="240" w:after="120"/>
      </w:pPr>
      <w:r>
        <w:rPr>
          <w:rFonts w:ascii="Calibri" w:hAnsi="Calibri"/>
          <w:color w:val="6B3FA0"/>
          <w:sz w:val="26"/>
        </w:rPr>
        <w:t>Personele inzet en opleiden</w:t>
      </w:r>
    </w:p>
    <w:p>
      <w:pPr>
        <w:pStyle w:val="ListNumber"/>
        <w:spacing w:after="60" w:line="288" w:lineRule="auto"/>
      </w:pPr>
      <w:r>
        <w:rPr>
          <w:color w:val="1B2430"/>
          <w:sz w:val="21"/>
        </w:rPr>
        <w:t>Wat gebeurt er met de scopedienst van de CCU?</w:t>
      </w:r>
    </w:p>
    <w:p>
      <w:pPr>
        <w:pStyle w:val="ListNumber"/>
        <w:spacing w:after="60" w:line="288" w:lineRule="auto"/>
      </w:pPr>
      <w:r>
        <w:rPr>
          <w:color w:val="1B2430"/>
          <w:sz w:val="21"/>
        </w:rPr>
        <w:t>Welke norm geldt er voor de Hotfloor?</w:t>
      </w:r>
    </w:p>
    <w:p>
      <w:pPr>
        <w:pStyle w:val="ListNumber"/>
        <w:spacing w:after="60" w:line="288" w:lineRule="auto"/>
      </w:pPr>
      <w:r>
        <w:rPr>
          <w:color w:val="1B2430"/>
          <w:sz w:val="21"/>
        </w:rPr>
        <w:t>Inzet van de kinderverpleegkundige op de SEH?</w:t>
      </w:r>
    </w:p>
    <w:p>
      <w:pPr>
        <w:spacing w:before="0" w:after="120" w:line="300" w:lineRule="auto"/>
      </w:pPr>
    </w:p>
    <w:tbl>
      <w:tblPr>
        <w:tblW w:type="auto" w:w="0"/>
        <w:jc w:val="center"/>
        <w:tblBorders>
          <w:top w:val="single" w:sz="8" w:space="0" w:color="D2691E"/>
          <w:left w:val="single" w:sz="8" w:space="0" w:color="D2691E"/>
          <w:bottom w:val="single" w:sz="8" w:space="0" w:color="D2691E"/>
          <w:right w:val="single" w:sz="8" w:space="0" w:color="D2691E"/>
          <w:insideH w:val="single" w:sz="8" w:space="0" w:color="D2691E"/>
          <w:insideV w:val="single" w:sz="8" w:space="0" w:color="D2691E"/>
        </w:tblBorders>
        <w:tblLook w:firstColumn="1" w:firstRow="1" w:lastColumn="0" w:lastRow="0" w:noHBand="0" w:noVBand="1" w:val="04A0"/>
      </w:tblPr>
      <w:tblGrid>
        <w:gridCol w:w="9298"/>
      </w:tblGrid>
      <w:tr>
        <w:tc>
          <w:tcPr>
            <w:tcW w:type="dxa" w:w="9298"/>
            <w:shd w:val="clear" w:color="auto" w:fill="FBEEE3"/>
          </w:tcPr>
          <w:p>
            <w:pPr>
              <w:spacing w:after="80"/>
            </w:pPr>
            <w:r>
              <w:rPr>
                <w:b/>
                <w:color w:val="D2691E"/>
                <w:sz w:val="22"/>
              </w:rPr>
              <w:t>Actie</w:t>
            </w:r>
          </w:p>
          <w:p>
            <w:pPr>
              <w:spacing w:after="40" w:line="288" w:lineRule="auto"/>
            </w:pPr>
            <w:r>
              <w:rPr>
                <w:color w:val="1B2430"/>
                <w:sz w:val="20"/>
              </w:rPr>
              <w:t>Deze lijst aanvullen met de vragen van Lonneke en Maxim.</w:t>
            </w:r>
          </w:p>
        </w:tc>
      </w:tr>
    </w:tbl>
    <w:p>
      <w:pPr>
        <w:spacing w:after="80"/>
      </w:pPr>
    </w:p>
    <w:p>
      <w:r>
        <w:br w:type="page"/>
      </w:r>
    </w:p>
    <w:p>
      <w:pPr>
        <w:pStyle w:val="Heading1"/>
        <w:pBdr>
          <w:bottom w:val="single" w:sz="6" w:space="4" w:color="6B3FA0"/>
        </w:pBdr>
        <w:spacing w:before="360" w:after="120"/>
      </w:pPr>
      <w:r>
        <w:rPr>
          <w:rFonts w:ascii="Calibri" w:hAnsi="Calibri"/>
          <w:color w:val="6B3FA0"/>
          <w:sz w:val="34"/>
        </w:rPr>
        <w:t>10. Stappenplan</w:t>
      </w:r>
    </w:p>
    <w:p>
      <w:pPr>
        <w:spacing w:before="0" w:after="120" w:line="300" w:lineRule="auto"/>
      </w:pPr>
      <w:r>
        <w:rPr>
          <w:b w:val="0"/>
          <w:i w:val="0"/>
          <w:color w:val="1B2430"/>
          <w:sz w:val="21"/>
        </w:rPr>
        <w:t>Het stappenplan is de rode draad van het bord: het laat zien hoe je van een scenario komt tot een rooster dat klopt, en hoe je daarna blijft monitoren.</w:t>
      </w:r>
    </w:p>
    <w:p>
      <w:pPr>
        <w:spacing w:before="120" w:after="40"/>
        <w:jc w:val="center"/>
      </w:pPr>
      <w:r>
        <w:drawing>
          <wp:inline xmlns:a="http://schemas.openxmlformats.org/drawingml/2006/main" xmlns:pic="http://schemas.openxmlformats.org/drawingml/2006/picture">
            <wp:extent cx="5903999" cy="4554514"/>
            <wp:docPr id="10" name="Picture 10"/>
            <wp:cNvGraphicFramePr>
              <a:graphicFrameLocks noChangeAspect="1"/>
            </wp:cNvGraphicFramePr>
            <a:graphic>
              <a:graphicData uri="http://schemas.openxmlformats.org/drawingml/2006/picture">
                <pic:pic>
                  <pic:nvPicPr>
                    <pic:cNvPr id="0" name="fig10_stappenplan.png"/>
                    <pic:cNvPicPr/>
                  </pic:nvPicPr>
                  <pic:blipFill>
                    <a:blip r:embed="rId19"/>
                    <a:stretch>
                      <a:fillRect/>
                    </a:stretch>
                  </pic:blipFill>
                  <pic:spPr>
                    <a:xfrm>
                      <a:off x="0" y="0"/>
                      <a:ext cx="5903999" cy="4554514"/>
                    </a:xfrm>
                    <a:prstGeom prst="rect"/>
                  </pic:spPr>
                </pic:pic>
              </a:graphicData>
            </a:graphic>
          </wp:inline>
        </w:drawing>
      </w:r>
    </w:p>
    <w:p>
      <w:pPr>
        <w:spacing w:after="240"/>
        <w:jc w:val="center"/>
      </w:pPr>
      <w:r>
        <w:rPr>
          <w:i/>
          <w:color w:val="5A6472"/>
          <w:sz w:val="18"/>
        </w:rPr>
        <w:t>Figuur 10 - Stappenplan van scenario naar roostersleutel, planning en monitoring</w:t>
      </w:r>
    </w:p>
    <w:p>
      <w:pPr>
        <w:pStyle w:val="Heading2"/>
        <w:spacing w:before="240" w:after="120"/>
      </w:pPr>
      <w:r>
        <w:rPr>
          <w:rFonts w:ascii="Calibri" w:hAnsi="Calibri"/>
          <w:color w:val="6B3FA0"/>
          <w:sz w:val="26"/>
        </w:rPr>
        <w:t>De stappen</w:t>
      </w:r>
    </w:p>
    <w:p>
      <w:pPr>
        <w:pStyle w:val="ListNumber"/>
        <w:spacing w:after="60" w:line="288" w:lineRule="auto"/>
      </w:pPr>
      <w:r>
        <w:rPr>
          <w:color w:val="1B2430"/>
          <w:sz w:val="21"/>
        </w:rPr>
        <w:t>Scenario's uitwerken.</w:t>
      </w:r>
    </w:p>
    <w:p>
      <w:pPr>
        <w:pStyle w:val="ListNumber"/>
        <w:spacing w:after="60" w:line="288" w:lineRule="auto"/>
      </w:pPr>
      <w:r>
        <w:rPr>
          <w:color w:val="1B2430"/>
          <w:sz w:val="21"/>
        </w:rPr>
        <w:t>Keuze maken op basis van data uit BI.</w:t>
      </w:r>
    </w:p>
    <w:p>
      <w:pPr>
        <w:pStyle w:val="ListNumber"/>
        <w:spacing w:after="60" w:line="288" w:lineRule="auto"/>
      </w:pPr>
      <w:r>
        <w:rPr>
          <w:color w:val="1B2430"/>
          <w:sz w:val="21"/>
        </w:rPr>
        <w:t>Uitwerken in een week- en dagplan.</w:t>
      </w:r>
    </w:p>
    <w:p>
      <w:pPr>
        <w:pStyle w:val="ListNumber"/>
        <w:spacing w:after="60" w:line="288" w:lineRule="auto"/>
      </w:pPr>
      <w:r>
        <w:rPr>
          <w:color w:val="1B2430"/>
          <w:sz w:val="21"/>
        </w:rPr>
        <w:t>Verwerken in de roostersleutels.</w:t>
      </w:r>
    </w:p>
    <w:p>
      <w:pPr>
        <w:pStyle w:val="ListNumber"/>
        <w:spacing w:after="60" w:line="288" w:lineRule="auto"/>
      </w:pPr>
      <w:r>
        <w:rPr>
          <w:color w:val="1B2430"/>
          <w:sz w:val="21"/>
        </w:rPr>
        <w:t>Planning CPP.</w:t>
      </w:r>
    </w:p>
    <w:p>
      <w:pPr>
        <w:pStyle w:val="ListNumber"/>
        <w:spacing w:after="60" w:line="288" w:lineRule="auto"/>
      </w:pPr>
      <w:r>
        <w:rPr>
          <w:color w:val="1B2430"/>
          <w:sz w:val="21"/>
        </w:rPr>
        <w:t>Monitoring van instroom, stops en knelpunten, en monitoring van de urenoverzichten.</w:t>
      </w:r>
    </w:p>
    <w:p>
      <w:pPr>
        <w:spacing w:before="0" w:after="120" w:line="300" w:lineRule="auto"/>
      </w:pPr>
    </w:p>
    <w:tbl>
      <w:tblPr>
        <w:tblW w:type="auto" w:w="0"/>
        <w:jc w:val="center"/>
        <w:tblBorders>
          <w:top w:val="single" w:sz="8" w:space="0" w:color="6B3FA0"/>
          <w:left w:val="single" w:sz="8" w:space="0" w:color="6B3FA0"/>
          <w:bottom w:val="single" w:sz="8" w:space="0" w:color="6B3FA0"/>
          <w:right w:val="single" w:sz="8" w:space="0" w:color="6B3FA0"/>
          <w:insideH w:val="single" w:sz="8" w:space="0" w:color="6B3FA0"/>
          <w:insideV w:val="single" w:sz="8" w:space="0" w:color="6B3FA0"/>
        </w:tblBorders>
        <w:tblLook w:firstColumn="1" w:firstRow="1" w:lastColumn="0" w:lastRow="0" w:noHBand="0" w:noVBand="1" w:val="04A0"/>
      </w:tblPr>
      <w:tblGrid>
        <w:gridCol w:w="9298"/>
      </w:tblGrid>
      <w:tr>
        <w:tc>
          <w:tcPr>
            <w:tcW w:type="dxa" w:w="9298"/>
            <w:shd w:val="clear" w:color="auto" w:fill="F0EAF8"/>
          </w:tcPr>
          <w:p>
            <w:pPr>
              <w:spacing w:after="80"/>
            </w:pPr>
            <w:r>
              <w:rPr>
                <w:b/>
                <w:color w:val="6B3FA0"/>
                <w:sz w:val="22"/>
              </w:rPr>
              <w:t>Twee uitgangspunten bij het stappenplan</w:t>
            </w:r>
          </w:p>
          <w:p>
            <w:pPr>
              <w:spacing w:after="40" w:line="288" w:lineRule="auto"/>
            </w:pPr>
            <w:r>
              <w:rPr>
                <w:color w:val="1B2430"/>
                <w:sz w:val="20"/>
              </w:rPr>
              <w:t>Fysiek gaat voor personeel: eerst wat en waar, daarna volgt de personele inzet daaruit.</w:t>
            </w:r>
          </w:p>
          <w:p>
            <w:pPr>
              <w:spacing w:after="40" w:line="288" w:lineRule="auto"/>
            </w:pPr>
            <w:r>
              <w:rPr>
                <w:color w:val="1B2430"/>
                <w:sz w:val="20"/>
              </w:rPr>
              <w:t>Scheiden in perioden: nu en heel 2026, oudbouw 2027, de verhuisperiode, en de nieuwbouw vanaf juni 2027.</w:t>
            </w:r>
          </w:p>
        </w:tc>
      </w:tr>
    </w:tbl>
    <w:p>
      <w:pPr>
        <w:spacing w:after="80"/>
      </w:pPr>
    </w:p>
    <w:p>
      <w:r>
        <w:br w:type="page"/>
      </w:r>
    </w:p>
    <w:p>
      <w:pPr>
        <w:pStyle w:val="Heading1"/>
        <w:pBdr>
          <w:bottom w:val="single" w:sz="6" w:space="4" w:color="D2691E"/>
        </w:pBdr>
        <w:spacing w:before="360" w:after="120"/>
      </w:pPr>
      <w:r>
        <w:rPr>
          <w:rFonts w:ascii="Calibri" w:hAnsi="Calibri"/>
          <w:color w:val="D2691E"/>
          <w:sz w:val="34"/>
        </w:rPr>
        <w:t>11. Punten die op het bord niet eenduidig te lezen zijn</w:t>
      </w:r>
    </w:p>
    <w:p>
      <w:pPr>
        <w:spacing w:before="0" w:after="120" w:line="300" w:lineRule="auto"/>
      </w:pPr>
      <w:r>
        <w:rPr>
          <w:b w:val="0"/>
          <w:i w:val="0"/>
          <w:color w:val="1B2430"/>
          <w:sz w:val="21"/>
        </w:rPr>
        <w:t>Bij het uitwerken zijn een paar plekken op het bord tegenstrijdig of slecht leesbaar. Hieronder staat per punt wat er is aangenomen. Graag controleren en corrigeren.</w:t>
      </w:r>
    </w:p>
    <w:p>
      <w:pPr>
        <w:spacing w:before="160" w:after="40"/>
      </w:pPr>
      <w:r>
        <w:rPr>
          <w:b/>
          <w:color w:val="D2691E"/>
          <w:sz w:val="22"/>
        </w:rPr>
        <w:t>Jaartallen bij 'plan'</w:t>
      </w:r>
    </w:p>
    <w:p>
      <w:pPr>
        <w:spacing w:before="0" w:after="40" w:line="300" w:lineRule="auto"/>
      </w:pPr>
      <w:r>
        <w:rPr>
          <w:b w:val="0"/>
          <w:i w:val="0"/>
          <w:color w:val="1B2430"/>
          <w:sz w:val="21"/>
        </w:rPr>
        <w:t>Op het bord staat 'verhuis 2026 juni begin' en 'nieuwbouw juni eind', maar rechtsonder staat 'nu - heel 2026 / oudbouw 2027 / verhuis / nieuwbouw juni 2027'. In dit document is 2027 aangehouden voor oudbouw, verhuis en nieuwbouw. Klopt dat?</w:t>
      </w:r>
    </w:p>
    <w:p>
      <w:pPr>
        <w:spacing w:before="160" w:after="40"/>
      </w:pPr>
      <w:r>
        <w:rPr>
          <w:b/>
          <w:color w:val="D2691E"/>
          <w:sz w:val="22"/>
        </w:rPr>
        <w:t>De kolom met 10 en 15</w:t>
      </w:r>
    </w:p>
    <w:p>
      <w:pPr>
        <w:spacing w:before="0" w:after="40" w:line="300" w:lineRule="auto"/>
      </w:pPr>
      <w:r>
        <w:rPr>
          <w:b w:val="0"/>
          <w:i w:val="0"/>
          <w:color w:val="1B2430"/>
          <w:sz w:val="21"/>
        </w:rPr>
        <w:t>In de tabel staan de getallen 10 en 15 bij ICU en CCU/SCU/EHH, zonder kolomkop. Aangenomen is dat dit het aantal bedden of plekken is. Waar staan deze getallen voor?</w:t>
      </w:r>
    </w:p>
    <w:p>
      <w:pPr>
        <w:spacing w:before="160" w:after="40"/>
      </w:pPr>
      <w:r>
        <w:rPr>
          <w:b/>
          <w:color w:val="D2691E"/>
          <w:sz w:val="22"/>
        </w:rPr>
        <w:t>Rij 'kind spoed' in de tabel</w:t>
      </w:r>
    </w:p>
    <w:p>
      <w:pPr>
        <w:spacing w:before="0" w:after="40" w:line="300" w:lineRule="auto"/>
      </w:pPr>
      <w:r>
        <w:rPr>
          <w:b w:val="0"/>
          <w:i w:val="0"/>
          <w:color w:val="1B2430"/>
          <w:sz w:val="21"/>
        </w:rPr>
        <w:t>Bij kind spoed staat één 'nee' en verder vraagtekens. Aangenomen is dat de 'nee' bij 'jaarplan?' hoort. Klopt die uitlijning?</w:t>
      </w:r>
    </w:p>
    <w:p>
      <w:pPr>
        <w:spacing w:before="160" w:after="40"/>
      </w:pPr>
      <w:r>
        <w:rPr>
          <w:b/>
          <w:color w:val="D2691E"/>
          <w:sz w:val="22"/>
        </w:rPr>
        <w:t>'Weigeringskans'</w:t>
      </w:r>
    </w:p>
    <w:p>
      <w:pPr>
        <w:spacing w:before="0" w:after="40" w:line="300" w:lineRule="auto"/>
      </w:pPr>
      <w:r>
        <w:rPr>
          <w:b w:val="0"/>
          <w:i w:val="0"/>
          <w:color w:val="1B2430"/>
          <w:sz w:val="21"/>
        </w:rPr>
        <w:t>Bij de Hotfloor-analyse staat een woord dat gelezen is als 'weigeringskans'. Klopt dat, en gaat het om de kans dat een patiënt geweigerd moet worden bij 16 bedden?</w:t>
      </w:r>
    </w:p>
    <w:p>
      <w:pPr>
        <w:spacing w:before="160" w:after="40"/>
      </w:pPr>
      <w:r>
        <w:rPr>
          <w:b/>
          <w:color w:val="D2691E"/>
          <w:sz w:val="22"/>
        </w:rPr>
        <w:t>'OSAS post-ok'</w:t>
      </w:r>
    </w:p>
    <w:p>
      <w:pPr>
        <w:spacing w:before="0" w:after="40" w:line="300" w:lineRule="auto"/>
      </w:pPr>
      <w:r>
        <w:rPr>
          <w:b w:val="0"/>
          <w:i w:val="0"/>
          <w:color w:val="1B2430"/>
          <w:sz w:val="21"/>
        </w:rPr>
        <w:t>Bij de openstaande vragen staat 'komt OSAS post-ok nog op icu?'. Aangenomen is: de OSAS-patiënt na de operatie. Klopt dat?</w:t>
      </w:r>
    </w:p>
    <w:p>
      <w:pPr>
        <w:spacing w:before="160" w:after="40"/>
      </w:pPr>
      <w:r>
        <w:rPr>
          <w:b/>
          <w:color w:val="D2691E"/>
          <w:sz w:val="22"/>
        </w:rPr>
        <w:t>'scope dienst CCU'</w:t>
      </w:r>
    </w:p>
    <w:p>
      <w:pPr>
        <w:spacing w:before="0" w:after="40" w:line="300" w:lineRule="auto"/>
      </w:pPr>
      <w:r>
        <w:rPr>
          <w:b w:val="0"/>
          <w:i w:val="0"/>
          <w:color w:val="1B2430"/>
          <w:sz w:val="21"/>
        </w:rPr>
        <w:t>Bij de personele vragen staat 'wat gebeurt er met scope dienst CCU?'. Aangenomen is de scopedienst (endoscopie-bereikbaarheidsdienst). Klopt dat?</w:t>
      </w:r>
    </w:p>
    <w:p>
      <w:pPr>
        <w:spacing w:before="160" w:after="40"/>
      </w:pPr>
      <w:r>
        <w:rPr>
          <w:b/>
          <w:color w:val="D2691E"/>
          <w:sz w:val="22"/>
        </w:rPr>
        <w:t>'Berekeningen' onder de tijdlijn</w:t>
      </w:r>
    </w:p>
    <w:p>
      <w:pPr>
        <w:spacing w:before="0" w:after="40" w:line="300" w:lineRule="auto"/>
      </w:pPr>
      <w:r>
        <w:rPr>
          <w:b w:val="0"/>
          <w:i w:val="0"/>
          <w:color w:val="1B2430"/>
          <w:sz w:val="21"/>
        </w:rPr>
        <w:t>Onder 'norm vph patiëntenzorg gereed' staan D:, L: en N: zonder waarden. Aangenomen is dat dit de nog in te vullen normen per dienst zijn.</w:t>
      </w:r>
    </w:p>
    <w:p>
      <w:pPr>
        <w:spacing w:before="160" w:after="40"/>
      </w:pPr>
      <w:r>
        <w:rPr>
          <w:b/>
          <w:color w:val="D2691E"/>
          <w:sz w:val="22"/>
        </w:rPr>
        <w:t>Namen bij de SEH-stromen</w:t>
      </w:r>
    </w:p>
    <w:p>
      <w:pPr>
        <w:spacing w:before="0" w:after="40" w:line="300" w:lineRule="auto"/>
      </w:pPr>
      <w:r>
        <w:rPr>
          <w:b w:val="0"/>
          <w:i w:val="0"/>
          <w:color w:val="1B2430"/>
          <w:sz w:val="21"/>
        </w:rPr>
        <w:t>Bij de SEH staat 'scenario's Maxim en Sigrid'. Zijn dat de namen van de collega's die deze scenario's uitwerken?</w:t>
      </w:r>
    </w:p>
    <w:p>
      <w:pPr>
        <w:spacing w:before="160" w:after="40"/>
      </w:pPr>
      <w:r>
        <w:rPr>
          <w:b/>
          <w:color w:val="D2691E"/>
          <w:sz w:val="22"/>
        </w:rPr>
        <w:t>'Remco' in de tabel</w:t>
      </w:r>
    </w:p>
    <w:p>
      <w:pPr>
        <w:spacing w:before="0" w:after="40" w:line="300" w:lineRule="auto"/>
      </w:pPr>
      <w:r>
        <w:rPr>
          <w:b w:val="0"/>
          <w:i w:val="0"/>
          <w:color w:val="1B2430"/>
          <w:sz w:val="21"/>
        </w:rPr>
        <w:t>De laatste kolom heet 'gewenste norm Remco'. Aangenomen is dat dit de door Remco gewenste norm is, nog in te vullen per afdeling.</w:t>
      </w:r>
    </w:p>
    <w:p>
      <w:pPr>
        <w:spacing w:before="160" w:after="40"/>
      </w:pPr>
      <w:r>
        <w:rPr>
          <w:b/>
          <w:color w:val="D2691E"/>
          <w:sz w:val="22"/>
        </w:rPr>
        <w:t>'kinderverpl. op SEH'</w:t>
      </w:r>
    </w:p>
    <w:p>
      <w:pPr>
        <w:spacing w:before="0" w:after="40" w:line="300" w:lineRule="auto"/>
      </w:pPr>
      <w:r>
        <w:rPr>
          <w:b w:val="0"/>
          <w:i w:val="0"/>
          <w:color w:val="1B2430"/>
          <w:sz w:val="21"/>
        </w:rPr>
        <w:t>Gelezen als 'inzet kinderverpleegkundige op SEH'. Klopt dat?</w:t>
      </w:r>
    </w:p>
    <w:sectPr w:rsidR="00FC693F" w:rsidRPr="0006063C" w:rsidSect="00034616">
      <w:footerReference w:type="default" r:id="rId9"/>
      <w:pgSz w:w="11906" w:h="16838"/>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472"/>
        <w:sz w:val="16"/>
      </w:rPr>
      <w:t>Integraal Capaciteitsmanagement  |  uitwerking whiteboardsessie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B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