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B0C3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Experimental Results and Figure Summary </w:t>
      </w:r>
      <w:r w:rsidRPr="00BB1D00">
        <w:rPr>
          <w:b/>
          <w:bCs/>
        </w:rPr>
        <w:t>实验结果与图表总结</w:t>
      </w:r>
    </w:p>
    <w:p w14:paraId="245864B9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Part I. Full Experimental Results </w:t>
      </w:r>
      <w:r w:rsidRPr="00BB1D00">
        <w:rPr>
          <w:b/>
          <w:bCs/>
        </w:rPr>
        <w:t>全部实验结果（</w:t>
      </w:r>
      <w:r w:rsidRPr="00BB1D00">
        <w:rPr>
          <w:b/>
          <w:bCs/>
        </w:rPr>
        <w:t>18 Figures</w:t>
      </w:r>
      <w:r w:rsidRPr="00BB1D00">
        <w:rPr>
          <w:b/>
          <w:bCs/>
        </w:rPr>
        <w:t>）</w:t>
      </w:r>
    </w:p>
    <w:p w14:paraId="60130B81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Fig. 1. AE training curve — </w:t>
      </w:r>
      <w:r w:rsidRPr="00BB1D00">
        <w:rPr>
          <w:b/>
          <w:bCs/>
        </w:rPr>
        <w:t>自编码器训练曲线</w:t>
      </w:r>
    </w:p>
    <w:p w14:paraId="55AD357E" w14:textId="77777777" w:rsidR="00BB1D00" w:rsidRP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Training and validation loss decrease steadily, showing convergence of the autoencoder model.</w:t>
      </w:r>
      <w:r w:rsidRPr="00BB1D00">
        <w:br/>
      </w:r>
      <w:r w:rsidRPr="00BB1D00">
        <w:rPr>
          <w:b/>
          <w:bCs/>
        </w:rPr>
        <w:t>解读</w:t>
      </w:r>
      <w:r w:rsidRPr="00BB1D00">
        <w:t>：训练与验证误差稳定下降，说明</w:t>
      </w:r>
      <w:r w:rsidRPr="00BB1D00">
        <w:t>AE</w:t>
      </w:r>
      <w:r w:rsidRPr="00BB1D00">
        <w:t>模型成功收敛。</w:t>
      </w:r>
    </w:p>
    <w:p w14:paraId="5801CA48" w14:textId="5526C173" w:rsidR="00BB1D00" w:rsidRDefault="00BB1D00" w:rsidP="00BB1D00">
      <w:r>
        <w:rPr>
          <w:noProof/>
        </w:rPr>
        <w:drawing>
          <wp:inline distT="0" distB="0" distL="0" distR="0" wp14:anchorId="23BBCDB3" wp14:editId="4AD833BD">
            <wp:extent cx="5394960" cy="3566160"/>
            <wp:effectExtent l="0" t="0" r="0" b="0"/>
            <wp:docPr id="908114099" name="Picture 1" descr="A graph of a training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14099" name="Picture 1" descr="A graph of a training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257D4" w14:textId="2F1F1F55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Fig. 2. Alerts/hour (count of records) — </w:t>
      </w:r>
      <w:r w:rsidRPr="00BB1D00">
        <w:rPr>
          <w:b/>
          <w:bCs/>
        </w:rPr>
        <w:t>每小时警报数量</w:t>
      </w:r>
    </w:p>
    <w:p w14:paraId="40A05547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Periodic hourly pattern observed across multiple days, suggesting cyclical workload.</w:t>
      </w:r>
      <w:r w:rsidRPr="00BB1D00">
        <w:br/>
      </w:r>
      <w:r w:rsidRPr="00BB1D00">
        <w:rPr>
          <w:b/>
          <w:bCs/>
        </w:rPr>
        <w:t>解读</w:t>
      </w:r>
      <w:r w:rsidRPr="00BB1D00">
        <w:t>：多日内呈周期性波动，反映系统负载随时间的规律性变化。</w:t>
      </w:r>
    </w:p>
    <w:p w14:paraId="06F5254B" w14:textId="2C1EFC9F" w:rsidR="00BB1D00" w:rsidRPr="00BB1D00" w:rsidRDefault="00BB1D00" w:rsidP="00BB1D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1760C3" wp14:editId="3BCE23F2">
            <wp:extent cx="5387340" cy="3566160"/>
            <wp:effectExtent l="0" t="0" r="3810" b="0"/>
            <wp:docPr id="1377911287" name="Picture 2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11287" name="Picture 2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0CCD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>Fig. 3. Boxplot by category (</w:t>
      </w:r>
      <w:proofErr w:type="gramStart"/>
      <w:r w:rsidRPr="00BB1D00">
        <w:rPr>
          <w:b/>
          <w:bCs/>
        </w:rPr>
        <w:t>top-8</w:t>
      </w:r>
      <w:proofErr w:type="gramEnd"/>
      <w:r w:rsidRPr="00BB1D00">
        <w:rPr>
          <w:b/>
          <w:bCs/>
        </w:rPr>
        <w:t xml:space="preserve">) — </w:t>
      </w:r>
      <w:r w:rsidRPr="00BB1D00">
        <w:rPr>
          <w:b/>
          <w:bCs/>
        </w:rPr>
        <w:t>各部门响应时间箱线图</w:t>
      </w:r>
    </w:p>
    <w:p w14:paraId="711D1F16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Response time distribution varies by agency, indicating operational differences.</w:t>
      </w:r>
      <w:r w:rsidRPr="00BB1D00">
        <w:br/>
      </w:r>
      <w:r w:rsidRPr="00BB1D00">
        <w:rPr>
          <w:b/>
          <w:bCs/>
        </w:rPr>
        <w:t>解读</w:t>
      </w:r>
      <w:r w:rsidRPr="00BB1D00">
        <w:t>：不同部门响应时间差异明显，体现运维效率不均。</w:t>
      </w:r>
    </w:p>
    <w:p w14:paraId="09AEEE64" w14:textId="587DC041" w:rsidR="00BB1D00" w:rsidRPr="00BB1D00" w:rsidRDefault="00BB1D00" w:rsidP="00BB1D00">
      <w:pPr>
        <w:rPr>
          <w:rFonts w:hint="eastAsia"/>
        </w:rPr>
      </w:pPr>
      <w:r>
        <w:rPr>
          <w:noProof/>
        </w:rPr>
        <w:drawing>
          <wp:inline distT="0" distB="0" distL="0" distR="0" wp14:anchorId="370182B4" wp14:editId="60240C56">
            <wp:extent cx="5943600" cy="3269615"/>
            <wp:effectExtent l="0" t="0" r="0" b="6985"/>
            <wp:docPr id="774798411" name="Picture 3" descr="A graph of a box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98411" name="Picture 3" descr="A graph of a boxp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C053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>Fig. 4. Category distribution (</w:t>
      </w:r>
      <w:proofErr w:type="gramStart"/>
      <w:r w:rsidRPr="00BB1D00">
        <w:rPr>
          <w:b/>
          <w:bCs/>
        </w:rPr>
        <w:t>top-8</w:t>
      </w:r>
      <w:proofErr w:type="gramEnd"/>
      <w:r w:rsidRPr="00BB1D00">
        <w:rPr>
          <w:b/>
          <w:bCs/>
        </w:rPr>
        <w:t xml:space="preserve">) — </w:t>
      </w:r>
      <w:r w:rsidRPr="00BB1D00">
        <w:rPr>
          <w:b/>
          <w:bCs/>
        </w:rPr>
        <w:t>类别占比饼图</w:t>
      </w:r>
    </w:p>
    <w:p w14:paraId="117C0AD2" w14:textId="77777777" w:rsidR="00BB1D00" w:rsidRP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Most records belong to NYPD and HPD categories, showing data imbalance.</w:t>
      </w:r>
      <w:r w:rsidRPr="00BB1D00">
        <w:br/>
      </w:r>
      <w:r w:rsidRPr="00BB1D00">
        <w:rPr>
          <w:b/>
          <w:bCs/>
        </w:rPr>
        <w:t>解读</w:t>
      </w:r>
      <w:r w:rsidRPr="00BB1D00">
        <w:t>：数据集中主要来自</w:t>
      </w:r>
      <w:r w:rsidRPr="00BB1D00">
        <w:t>NYPD</w:t>
      </w:r>
      <w:r w:rsidRPr="00BB1D00">
        <w:t>与</w:t>
      </w:r>
      <w:r w:rsidRPr="00BB1D00">
        <w:t>HPD</w:t>
      </w:r>
      <w:r w:rsidRPr="00BB1D00">
        <w:t>，存在显著类别不平衡。</w:t>
      </w:r>
    </w:p>
    <w:p w14:paraId="54DD2991" w14:textId="790D469A" w:rsidR="00BB1D00" w:rsidRDefault="00BB1D00" w:rsidP="00BB1D00">
      <w:r>
        <w:rPr>
          <w:noProof/>
        </w:rPr>
        <w:lastRenderedPageBreak/>
        <w:drawing>
          <wp:inline distT="0" distB="0" distL="0" distR="0" wp14:anchorId="6BC3923E" wp14:editId="0D5A84B3">
            <wp:extent cx="3604260" cy="3566160"/>
            <wp:effectExtent l="0" t="0" r="0" b="0"/>
            <wp:docPr id="755750515" name="Picture 4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50515" name="Picture 4" descr="A pie chart with different colored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A75CC" w14:textId="77777777" w:rsidR="00BB1D00" w:rsidRDefault="00BB1D00" w:rsidP="00BB1D00"/>
    <w:p w14:paraId="4B21781A" w14:textId="439087E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Fig. 5. Confusion Matrix – IF </w:t>
      </w:r>
      <w:r w:rsidRPr="00BB1D00">
        <w:rPr>
          <w:b/>
          <w:bCs/>
        </w:rPr>
        <w:t>模型混淆矩阵</w:t>
      </w:r>
    </w:p>
    <w:p w14:paraId="5E094FCA" w14:textId="77777777" w:rsidR="00BB1D00" w:rsidRP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Isolation Forest confusion matrix showing balanced detection with moderate false positives.</w:t>
      </w:r>
      <w:r w:rsidRPr="00BB1D00">
        <w:br/>
      </w:r>
      <w:r w:rsidRPr="00BB1D00">
        <w:rPr>
          <w:b/>
          <w:bCs/>
        </w:rPr>
        <w:t>解读</w:t>
      </w:r>
      <w:r w:rsidRPr="00BB1D00">
        <w:t>：</w:t>
      </w:r>
      <w:r w:rsidRPr="00BB1D00">
        <w:t>IF</w:t>
      </w:r>
      <w:r w:rsidRPr="00BB1D00">
        <w:t>模型在检测准确率与召回率间表现平衡，误报率适中。</w:t>
      </w:r>
    </w:p>
    <w:p w14:paraId="21B1BADD" w14:textId="34893B39" w:rsidR="00BB1D00" w:rsidRDefault="00BB1D00" w:rsidP="00BB1D00">
      <w:r>
        <w:rPr>
          <w:noProof/>
        </w:rPr>
        <w:drawing>
          <wp:inline distT="0" distB="0" distL="0" distR="0" wp14:anchorId="0A4E661E" wp14:editId="0FB1C011">
            <wp:extent cx="2781300" cy="2834640"/>
            <wp:effectExtent l="0" t="0" r="0" b="3810"/>
            <wp:docPr id="595403871" name="Picture 5" descr="A blu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3871" name="Picture 5" descr="A blue squar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9D21" w14:textId="64A1792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Fig. 6. Heatmap: count by weekday-hour — </w:t>
      </w:r>
      <w:r w:rsidRPr="00BB1D00">
        <w:rPr>
          <w:b/>
          <w:bCs/>
        </w:rPr>
        <w:t>每周每日小时分布热力图</w:t>
      </w:r>
    </w:p>
    <w:p w14:paraId="0BE8A3C1" w14:textId="77777777" w:rsidR="00BB1D00" w:rsidRP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Higher request frequency observed on weekdays, especially midday and Friday afternoons.</w:t>
      </w:r>
      <w:r w:rsidRPr="00BB1D00">
        <w:br/>
      </w:r>
      <w:r w:rsidRPr="00BB1D00">
        <w:rPr>
          <w:b/>
          <w:bCs/>
        </w:rPr>
        <w:t>解读</w:t>
      </w:r>
      <w:r w:rsidRPr="00BB1D00">
        <w:t>：请求高峰集中在工作日午间与周五下午，呈明显周期特征。</w:t>
      </w:r>
    </w:p>
    <w:p w14:paraId="18C49C0F" w14:textId="1EBD3248" w:rsidR="00BB1D00" w:rsidRDefault="00BB1D00" w:rsidP="00BB1D00">
      <w:r>
        <w:rPr>
          <w:noProof/>
        </w:rPr>
        <w:lastRenderedPageBreak/>
        <w:drawing>
          <wp:inline distT="0" distB="0" distL="0" distR="0" wp14:anchorId="18B18C0A" wp14:editId="415E1367">
            <wp:extent cx="5943600" cy="3053080"/>
            <wp:effectExtent l="0" t="0" r="0" b="0"/>
            <wp:docPr id="229227877" name="Picture 6" descr="A graph showing the temperature of a heat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27877" name="Picture 6" descr="A graph showing the temperature of a heat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73CF1" w14:textId="24CE489E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Fig. 7. Histogram of response time — </w:t>
      </w:r>
      <w:r w:rsidRPr="00BB1D00">
        <w:rPr>
          <w:b/>
          <w:bCs/>
        </w:rPr>
        <w:t>响应时间直方图</w:t>
      </w:r>
    </w:p>
    <w:p w14:paraId="6279CF14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Response times are right-skewed, with most requests resolved within 20 hours.</w:t>
      </w:r>
      <w:r w:rsidRPr="00BB1D00">
        <w:br/>
      </w:r>
      <w:r w:rsidRPr="00BB1D00">
        <w:rPr>
          <w:b/>
          <w:bCs/>
        </w:rPr>
        <w:t>解读</w:t>
      </w:r>
      <w:r w:rsidRPr="00BB1D00">
        <w:t>：响应时间分布右偏，大部分任务在</w:t>
      </w:r>
      <w:r w:rsidRPr="00BB1D00">
        <w:t>20</w:t>
      </w:r>
      <w:r w:rsidRPr="00BB1D00">
        <w:t>小时内完成。</w:t>
      </w:r>
    </w:p>
    <w:p w14:paraId="192B9BC4" w14:textId="6E60AA00" w:rsidR="00BB1D00" w:rsidRPr="00BB1D00" w:rsidRDefault="00BB1D00" w:rsidP="00BB1D00">
      <w:pPr>
        <w:rPr>
          <w:rFonts w:hint="eastAsia"/>
        </w:rPr>
      </w:pPr>
      <w:r>
        <w:rPr>
          <w:noProof/>
        </w:rPr>
        <w:drawing>
          <wp:inline distT="0" distB="0" distL="0" distR="0" wp14:anchorId="1D85691B" wp14:editId="0D66B073">
            <wp:extent cx="5394960" cy="3566160"/>
            <wp:effectExtent l="0" t="0" r="0" b="0"/>
            <wp:docPr id="2034210707" name="Picture 7" descr="A graph of a number of response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10707" name="Picture 7" descr="A graph of a number of response ti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5154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Fig. 8. KDE of response time — </w:t>
      </w:r>
      <w:r w:rsidRPr="00BB1D00">
        <w:rPr>
          <w:b/>
          <w:bCs/>
        </w:rPr>
        <w:t>响应时间核密度估计</w:t>
      </w:r>
    </w:p>
    <w:p w14:paraId="21210C43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Kernel density plot confirms the skewness and long-tail behavior.</w:t>
      </w:r>
      <w:r w:rsidRPr="00BB1D00">
        <w:br/>
      </w:r>
      <w:r w:rsidRPr="00BB1D00">
        <w:rPr>
          <w:b/>
          <w:bCs/>
        </w:rPr>
        <w:t>解读</w:t>
      </w:r>
      <w:r w:rsidRPr="00BB1D00">
        <w:t>：核密度曲线验证长尾分布特征，表明极端延迟事件存在。</w:t>
      </w:r>
    </w:p>
    <w:p w14:paraId="0A85235C" w14:textId="63DCF37F" w:rsidR="00BB1D00" w:rsidRPr="00BB1D00" w:rsidRDefault="00BB1D00" w:rsidP="00BB1D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40E087" wp14:editId="2E762F92">
            <wp:extent cx="5394960" cy="3566160"/>
            <wp:effectExtent l="0" t="0" r="0" b="0"/>
            <wp:docPr id="188103968" name="Picture 8" descr="A graph of a number of response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3968" name="Picture 8" descr="A graph of a number of response ti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557C0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Fig. 9. Metrics comparison (mean ±95% CI) — </w:t>
      </w:r>
      <w:r w:rsidRPr="00BB1D00">
        <w:rPr>
          <w:b/>
          <w:bCs/>
        </w:rPr>
        <w:t>模型性能指标比较</w:t>
      </w:r>
    </w:p>
    <w:p w14:paraId="5DA42F33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RF achieves near-perfect F1, while IF performs robustly under limited data.</w:t>
      </w:r>
      <w:r w:rsidRPr="00BB1D00">
        <w:br/>
      </w:r>
      <w:r w:rsidRPr="00BB1D00">
        <w:rPr>
          <w:b/>
          <w:bCs/>
        </w:rPr>
        <w:t>解读</w:t>
      </w:r>
      <w:r w:rsidRPr="00BB1D00">
        <w:t>：</w:t>
      </w:r>
      <w:r w:rsidRPr="00BB1D00">
        <w:t>RF</w:t>
      </w:r>
      <w:r w:rsidRPr="00BB1D00">
        <w:t>模型表现接近完美；</w:t>
      </w:r>
      <w:r w:rsidRPr="00BB1D00">
        <w:t>IF</w:t>
      </w:r>
      <w:r w:rsidRPr="00BB1D00">
        <w:t>在有限数据下仍表现稳健。</w:t>
      </w:r>
    </w:p>
    <w:p w14:paraId="6995B18A" w14:textId="10B2E6C1" w:rsidR="00BB1D00" w:rsidRPr="00BB1D00" w:rsidRDefault="00BB1D00" w:rsidP="00BB1D00">
      <w:pPr>
        <w:rPr>
          <w:rFonts w:hint="eastAsia"/>
        </w:rPr>
      </w:pPr>
      <w:r>
        <w:rPr>
          <w:noProof/>
        </w:rPr>
        <w:drawing>
          <wp:inline distT="0" distB="0" distL="0" distR="0" wp14:anchorId="07AC3668" wp14:editId="5FD8A6C2">
            <wp:extent cx="5943600" cy="3132455"/>
            <wp:effectExtent l="0" t="0" r="0" b="0"/>
            <wp:docPr id="1198147174" name="Picture 9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47174" name="Picture 9" descr="A graph of a ba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290D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>Fig. 10. Ops trade-off (precision vs recall) – IF</w:t>
      </w:r>
    </w:p>
    <w:p w14:paraId="614DB9CD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Precision decreases smoothly as recall increases, indicating controllable threshold behavior.</w:t>
      </w:r>
      <w:r w:rsidRPr="00BB1D00">
        <w:br/>
      </w:r>
      <w:r w:rsidRPr="00BB1D00">
        <w:rPr>
          <w:b/>
          <w:bCs/>
        </w:rPr>
        <w:t>解读</w:t>
      </w:r>
      <w:r w:rsidRPr="00BB1D00">
        <w:t>：</w:t>
      </w:r>
      <w:r w:rsidRPr="00BB1D00">
        <w:t>IF</w:t>
      </w:r>
      <w:r w:rsidRPr="00BB1D00">
        <w:t>模型</w:t>
      </w:r>
      <w:r w:rsidRPr="00BB1D00">
        <w:t>Precision</w:t>
      </w:r>
      <w:r w:rsidRPr="00BB1D00">
        <w:t>与</w:t>
      </w:r>
      <w:r w:rsidRPr="00BB1D00">
        <w:t>Recall</w:t>
      </w:r>
      <w:r w:rsidRPr="00BB1D00">
        <w:t>的反向变化体现阈值可调性。</w:t>
      </w:r>
    </w:p>
    <w:p w14:paraId="42CCE706" w14:textId="62B7BAEB" w:rsidR="00BB1D00" w:rsidRPr="00BB1D00" w:rsidRDefault="00BB1D00" w:rsidP="00BB1D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DE3ECA" wp14:editId="3D8AB950">
            <wp:extent cx="5394960" cy="3566160"/>
            <wp:effectExtent l="0" t="0" r="0" b="0"/>
            <wp:docPr id="1042675517" name="Picture 10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75517" name="Picture 10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DC6E9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>Fig. 11. Ops trade-off – OCSVM</w:t>
      </w:r>
    </w:p>
    <w:p w14:paraId="73E4A9CA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OCSVM precision drops quickly, showing sensitivity to noise.</w:t>
      </w:r>
      <w:r w:rsidRPr="00BB1D00">
        <w:br/>
      </w:r>
      <w:r w:rsidRPr="00BB1D00">
        <w:rPr>
          <w:b/>
          <w:bCs/>
        </w:rPr>
        <w:t>解读</w:t>
      </w:r>
      <w:r w:rsidRPr="00BB1D00">
        <w:t>：</w:t>
      </w:r>
      <w:r w:rsidRPr="00BB1D00">
        <w:t>OCSVM</w:t>
      </w:r>
      <w:r w:rsidRPr="00BB1D00">
        <w:t>模型对噪声敏感，</w:t>
      </w:r>
      <w:r w:rsidRPr="00BB1D00">
        <w:t>Precision</w:t>
      </w:r>
      <w:r w:rsidRPr="00BB1D00">
        <w:t>下降明显。</w:t>
      </w:r>
    </w:p>
    <w:p w14:paraId="70B6CF0D" w14:textId="69566655" w:rsidR="00BB1D00" w:rsidRPr="00BB1D00" w:rsidRDefault="00BB1D00" w:rsidP="00BB1D00">
      <w:pPr>
        <w:rPr>
          <w:rFonts w:hint="eastAsia"/>
        </w:rPr>
      </w:pPr>
      <w:r>
        <w:rPr>
          <w:noProof/>
        </w:rPr>
        <w:drawing>
          <wp:inline distT="0" distB="0" distL="0" distR="0" wp14:anchorId="27087438" wp14:editId="32A0A984">
            <wp:extent cx="5387340" cy="3566160"/>
            <wp:effectExtent l="0" t="0" r="3810" b="0"/>
            <wp:docPr id="2011526055" name="Picture 11" descr="A graph of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26055" name="Picture 11" descr="A graph of a pr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4111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>Fig. 12. Ops trade-off – RF</w:t>
      </w:r>
    </w:p>
    <w:p w14:paraId="32BB003E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 xml:space="preserve">RF maintains nearly perfect precision and </w:t>
      </w:r>
      <w:proofErr w:type="gramStart"/>
      <w:r w:rsidRPr="00BB1D00">
        <w:t>recall</w:t>
      </w:r>
      <w:proofErr w:type="gramEnd"/>
      <w:r w:rsidRPr="00BB1D00">
        <w:t xml:space="preserve"> across thresholds.</w:t>
      </w:r>
      <w:r w:rsidRPr="00BB1D00">
        <w:br/>
      </w:r>
      <w:r w:rsidRPr="00BB1D00">
        <w:rPr>
          <w:b/>
          <w:bCs/>
        </w:rPr>
        <w:t>解读</w:t>
      </w:r>
      <w:r w:rsidRPr="00BB1D00">
        <w:t>：</w:t>
      </w:r>
      <w:r w:rsidRPr="00BB1D00">
        <w:t>RF</w:t>
      </w:r>
      <w:r w:rsidRPr="00BB1D00">
        <w:t>在各阈值下保持高精度与高召回，稳定性最佳。</w:t>
      </w:r>
    </w:p>
    <w:p w14:paraId="41E6AAA4" w14:textId="5CB41581" w:rsidR="00BB1D00" w:rsidRPr="00BB1D00" w:rsidRDefault="00BB1D00" w:rsidP="00BB1D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C2E460" wp14:editId="03A9E775">
            <wp:extent cx="5394960" cy="3566160"/>
            <wp:effectExtent l="0" t="0" r="0" b="0"/>
            <wp:docPr id="1696019989" name="Picture 12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19989" name="Picture 12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9110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>Fig. 13. Precision–Recall curves (IF/OCSVM/RF)</w:t>
      </w:r>
    </w:p>
    <w:p w14:paraId="2073D32E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RF achieves AP=1.000, outperforming IF (0.588) and OCSVM (0.471).</w:t>
      </w:r>
      <w:r w:rsidRPr="00BB1D00">
        <w:br/>
      </w:r>
      <w:r w:rsidRPr="00BB1D00">
        <w:rPr>
          <w:b/>
          <w:bCs/>
        </w:rPr>
        <w:t>解读</w:t>
      </w:r>
      <w:r w:rsidRPr="00BB1D00">
        <w:t>：</w:t>
      </w:r>
      <w:r w:rsidRPr="00BB1D00">
        <w:t>RF</w:t>
      </w:r>
      <w:r w:rsidRPr="00BB1D00">
        <w:t>模型几乎完美检测，</w:t>
      </w:r>
      <w:r w:rsidRPr="00BB1D00">
        <w:t>IF</w:t>
      </w:r>
      <w:r w:rsidRPr="00BB1D00">
        <w:t>稳健，</w:t>
      </w:r>
      <w:r w:rsidRPr="00BB1D00">
        <w:t>OCSVM</w:t>
      </w:r>
      <w:r w:rsidRPr="00BB1D00">
        <w:t>略逊。</w:t>
      </w:r>
    </w:p>
    <w:p w14:paraId="1CFDA48B" w14:textId="044DE98E" w:rsidR="00BB1D00" w:rsidRPr="00BB1D00" w:rsidRDefault="00BB1D00" w:rsidP="00BB1D00">
      <w:pPr>
        <w:rPr>
          <w:rFonts w:hint="eastAsia"/>
        </w:rPr>
      </w:pPr>
      <w:r>
        <w:rPr>
          <w:noProof/>
        </w:rPr>
        <w:drawing>
          <wp:inline distT="0" distB="0" distL="0" distR="0" wp14:anchorId="416081C9" wp14:editId="3C0593B3">
            <wp:extent cx="5394960" cy="3566160"/>
            <wp:effectExtent l="0" t="0" r="0" b="0"/>
            <wp:docPr id="490188217" name="Picture 1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88217" name="Picture 1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5042B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Fig. 14. PR curves with AE — </w:t>
      </w:r>
      <w:r w:rsidRPr="00BB1D00">
        <w:rPr>
          <w:b/>
          <w:bCs/>
        </w:rPr>
        <w:t>含自编码器的</w:t>
      </w:r>
      <w:r w:rsidRPr="00BB1D00">
        <w:rPr>
          <w:b/>
          <w:bCs/>
        </w:rPr>
        <w:t>PR</w:t>
      </w:r>
      <w:r w:rsidRPr="00BB1D00">
        <w:rPr>
          <w:b/>
          <w:bCs/>
        </w:rPr>
        <w:t>曲线</w:t>
      </w:r>
    </w:p>
    <w:p w14:paraId="099DCDED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AE shows moderate performance (AP=0.421) and complements IF in unsupervised mode.</w:t>
      </w:r>
      <w:r w:rsidRPr="00BB1D00">
        <w:br/>
      </w:r>
      <w:r w:rsidRPr="00BB1D00">
        <w:rPr>
          <w:b/>
          <w:bCs/>
        </w:rPr>
        <w:t>解读</w:t>
      </w:r>
      <w:r w:rsidRPr="00BB1D00">
        <w:t>：</w:t>
      </w:r>
      <w:r w:rsidRPr="00BB1D00">
        <w:t>AE</w:t>
      </w:r>
      <w:r w:rsidRPr="00BB1D00">
        <w:t>虽性能较低，但在无监督条件下提供有效补充。</w:t>
      </w:r>
    </w:p>
    <w:p w14:paraId="45F8C97A" w14:textId="6E468C7A" w:rsidR="00BB1D00" w:rsidRPr="00BB1D00" w:rsidRDefault="00BB1D00" w:rsidP="00BB1D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629011" wp14:editId="23881F21">
            <wp:extent cx="5394960" cy="3566160"/>
            <wp:effectExtent l="0" t="0" r="0" b="0"/>
            <wp:docPr id="1313226244" name="Picture 14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26244" name="Picture 14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9D36C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Fig. 15. RF Feature Importances — </w:t>
      </w:r>
      <w:r w:rsidRPr="00BB1D00">
        <w:rPr>
          <w:b/>
          <w:bCs/>
        </w:rPr>
        <w:t>特征重要性分析</w:t>
      </w:r>
    </w:p>
    <w:p w14:paraId="16A0A00B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Response time dominates model influence, followed by agency category.</w:t>
      </w:r>
      <w:r w:rsidRPr="00BB1D00">
        <w:br/>
      </w:r>
      <w:r w:rsidRPr="00BB1D00">
        <w:rPr>
          <w:b/>
          <w:bCs/>
        </w:rPr>
        <w:t>解读</w:t>
      </w:r>
      <w:r w:rsidRPr="00BB1D00">
        <w:t>：响应时间（</w:t>
      </w:r>
      <w:proofErr w:type="spellStart"/>
      <w:r w:rsidRPr="00BB1D00">
        <w:t>resp_h</w:t>
      </w:r>
      <w:proofErr w:type="spellEnd"/>
      <w:r w:rsidRPr="00BB1D00">
        <w:t>）贡献最大，部门类别影响次之。</w:t>
      </w:r>
    </w:p>
    <w:p w14:paraId="18DF3FD5" w14:textId="3B433583" w:rsidR="00BB1D00" w:rsidRPr="00BB1D00" w:rsidRDefault="00BB1D00" w:rsidP="00BB1D00">
      <w:pPr>
        <w:rPr>
          <w:rFonts w:hint="eastAsia"/>
        </w:rPr>
      </w:pPr>
      <w:r>
        <w:rPr>
          <w:noProof/>
        </w:rPr>
        <w:drawing>
          <wp:inline distT="0" distB="0" distL="0" distR="0" wp14:anchorId="2DF9B132" wp14:editId="1C1AB358">
            <wp:extent cx="5943600" cy="3363595"/>
            <wp:effectExtent l="0" t="0" r="0" b="8255"/>
            <wp:docPr id="1592649646" name="Picture 15" descr="A graph showing a number of different types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49646" name="Picture 15" descr="A graph showing a number of different types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4E31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Fig. 16. SHAP Bar Plot — </w:t>
      </w:r>
      <w:r w:rsidRPr="00BB1D00">
        <w:rPr>
          <w:b/>
          <w:bCs/>
        </w:rPr>
        <w:t>特征解释贡献图</w:t>
      </w:r>
    </w:p>
    <w:p w14:paraId="18E93A05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‘Hour’ and ‘Weekday’ are key explanatory variables driving anomaly predictions.</w:t>
      </w:r>
      <w:r w:rsidRPr="00BB1D00">
        <w:br/>
      </w:r>
      <w:r w:rsidRPr="00BB1D00">
        <w:rPr>
          <w:b/>
          <w:bCs/>
        </w:rPr>
        <w:t>解读</w:t>
      </w:r>
      <w:r w:rsidRPr="00BB1D00">
        <w:t>：时间特征对异常检测贡献突出，模型可解释性强。</w:t>
      </w:r>
    </w:p>
    <w:p w14:paraId="09C7AA40" w14:textId="00BFC729" w:rsidR="00BB1D00" w:rsidRPr="00BB1D00" w:rsidRDefault="00BB1D00" w:rsidP="00BB1D00">
      <w:r>
        <w:rPr>
          <w:noProof/>
        </w:rPr>
        <w:lastRenderedPageBreak/>
        <w:drawing>
          <wp:inline distT="0" distB="0" distL="0" distR="0" wp14:anchorId="37CCBB40" wp14:editId="27519B4E">
            <wp:extent cx="3733800" cy="5943600"/>
            <wp:effectExtent l="0" t="0" r="0" b="0"/>
            <wp:docPr id="334332440" name="Picture 1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2440" name="Picture 1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FC9E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>Fig. 17. SHAP Summary Plot — SHAP</w:t>
      </w:r>
      <w:r w:rsidRPr="00BB1D00">
        <w:rPr>
          <w:b/>
          <w:bCs/>
        </w:rPr>
        <w:t>综合可解释图</w:t>
      </w:r>
    </w:p>
    <w:p w14:paraId="2B1A090C" w14:textId="77777777" w:rsidR="00BB1D00" w:rsidRP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Hour and weekday effects appear largely independent, confirming temporal influence.</w:t>
      </w:r>
      <w:r w:rsidRPr="00BB1D00">
        <w:br/>
      </w:r>
      <w:r w:rsidRPr="00BB1D00">
        <w:rPr>
          <w:b/>
          <w:bCs/>
        </w:rPr>
        <w:t>解读</w:t>
      </w:r>
      <w:r w:rsidRPr="00BB1D00">
        <w:t>：时间特征间影响独立，揭示周期性异常规律。</w:t>
      </w:r>
    </w:p>
    <w:p w14:paraId="6038CF80" w14:textId="688365E0" w:rsidR="00BB1D00" w:rsidRDefault="00BB1D00" w:rsidP="00BB1D00">
      <w:r>
        <w:rPr>
          <w:noProof/>
        </w:rPr>
        <w:lastRenderedPageBreak/>
        <w:drawing>
          <wp:inline distT="0" distB="0" distL="0" distR="0" wp14:anchorId="46392DE4" wp14:editId="13E84295">
            <wp:extent cx="3733800" cy="5943600"/>
            <wp:effectExtent l="0" t="0" r="0" b="0"/>
            <wp:docPr id="1937832380" name="Picture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2380" name="Picture 1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49F58" w14:textId="77777777" w:rsidR="00BB1D00" w:rsidRDefault="00BB1D00" w:rsidP="00BB1D00"/>
    <w:p w14:paraId="639C6FA3" w14:textId="7E7D5436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Fig. 18. Threshold sweep: IF — </w:t>
      </w:r>
      <w:r w:rsidRPr="00BB1D00">
        <w:rPr>
          <w:b/>
          <w:bCs/>
        </w:rPr>
        <w:t>阈值扫描分析</w:t>
      </w:r>
    </w:p>
    <w:p w14:paraId="0373A838" w14:textId="77777777" w:rsidR="00BB1D00" w:rsidRDefault="00BB1D00" w:rsidP="00BB1D00">
      <w:r w:rsidRPr="00BB1D00">
        <w:rPr>
          <w:b/>
          <w:bCs/>
        </w:rPr>
        <w:t>说明</w:t>
      </w:r>
      <w:r w:rsidRPr="00BB1D00">
        <w:t>：</w:t>
      </w:r>
      <w:r w:rsidRPr="00BB1D00">
        <w:t>F1 peaks near threshold −0.08, providing an optimal runtime configuration.</w:t>
      </w:r>
      <w:r w:rsidRPr="00BB1D00">
        <w:br/>
      </w:r>
      <w:r w:rsidRPr="00BB1D00">
        <w:rPr>
          <w:b/>
          <w:bCs/>
        </w:rPr>
        <w:t>解读</w:t>
      </w:r>
      <w:r w:rsidRPr="00BB1D00">
        <w:t>：</w:t>
      </w:r>
      <w:r w:rsidRPr="00BB1D00">
        <w:t>F1</w:t>
      </w:r>
      <w:r w:rsidRPr="00BB1D00">
        <w:t>在阈值</w:t>
      </w:r>
      <w:r w:rsidRPr="00BB1D00">
        <w:t>−0.08</w:t>
      </w:r>
      <w:r w:rsidRPr="00BB1D00">
        <w:t>附近达到最优，适合作为运行警报参数。</w:t>
      </w:r>
    </w:p>
    <w:p w14:paraId="00C41715" w14:textId="254F6331" w:rsidR="00BB1D00" w:rsidRPr="00BB1D00" w:rsidRDefault="00BB1D00" w:rsidP="00BB1D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3B54A7" wp14:editId="719D0F63">
            <wp:extent cx="5486400" cy="3657600"/>
            <wp:effectExtent l="0" t="0" r="0" b="0"/>
            <wp:docPr id="1272805614" name="Picture 18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05614" name="Picture 18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6432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Part II. Core Figures and Table </w:t>
      </w:r>
      <w:r w:rsidRPr="00BB1D00">
        <w:rPr>
          <w:b/>
          <w:bCs/>
        </w:rPr>
        <w:t>核心展示图表（主论文使用）</w:t>
      </w:r>
    </w:p>
    <w:p w14:paraId="722FB6DD" w14:textId="77777777" w:rsidR="00BB1D00" w:rsidRPr="00BB1D00" w:rsidRDefault="00BB1D00" w:rsidP="00BB1D00">
      <w:r w:rsidRPr="00BB1D00">
        <w:t>These are the essential 7 figures and 1 table that form the paper’s main experimental narrative.</w:t>
      </w:r>
      <w:r w:rsidRPr="00BB1D00">
        <w:br/>
      </w:r>
      <w:r w:rsidRPr="00BB1D00">
        <w:t>以下图表为建议保留在正文的主要部分：</w:t>
      </w:r>
    </w:p>
    <w:p w14:paraId="2B874149" w14:textId="77777777" w:rsidR="00BB1D00" w:rsidRPr="00BB1D00" w:rsidRDefault="00BB1D00" w:rsidP="00BB1D00">
      <w:pPr>
        <w:numPr>
          <w:ilvl w:val="0"/>
          <w:numId w:val="1"/>
        </w:numPr>
      </w:pPr>
      <w:r w:rsidRPr="00BB1D00">
        <w:rPr>
          <w:b/>
          <w:bCs/>
        </w:rPr>
        <w:t>Fig. 1. AE training curve</w:t>
      </w:r>
      <w:r w:rsidRPr="00BB1D00">
        <w:t xml:space="preserve"> — Shows convergence and model stability.</w:t>
      </w:r>
    </w:p>
    <w:p w14:paraId="7EE050E0" w14:textId="77777777" w:rsidR="00BB1D00" w:rsidRPr="00BB1D00" w:rsidRDefault="00BB1D00" w:rsidP="00BB1D00">
      <w:pPr>
        <w:numPr>
          <w:ilvl w:val="0"/>
          <w:numId w:val="1"/>
        </w:numPr>
      </w:pPr>
      <w:r w:rsidRPr="00BB1D00">
        <w:rPr>
          <w:b/>
          <w:bCs/>
        </w:rPr>
        <w:t>Fig. 6. Heatmap by weekday-hour</w:t>
      </w:r>
      <w:r w:rsidRPr="00BB1D00">
        <w:t xml:space="preserve"> — Visualizes workload periodicity.</w:t>
      </w:r>
    </w:p>
    <w:p w14:paraId="7E8BACE3" w14:textId="77777777" w:rsidR="00BB1D00" w:rsidRPr="00BB1D00" w:rsidRDefault="00BB1D00" w:rsidP="00BB1D00">
      <w:pPr>
        <w:numPr>
          <w:ilvl w:val="0"/>
          <w:numId w:val="1"/>
        </w:numPr>
      </w:pPr>
      <w:r w:rsidRPr="00BB1D00">
        <w:rPr>
          <w:b/>
          <w:bCs/>
        </w:rPr>
        <w:t>Fig. 9. Metrics comparison (mean ±95% CI)</w:t>
      </w:r>
      <w:r w:rsidRPr="00BB1D00">
        <w:t xml:space="preserve"> — Summarizes quantitative results.</w:t>
      </w:r>
    </w:p>
    <w:p w14:paraId="4F74890F" w14:textId="77777777" w:rsidR="00BB1D00" w:rsidRPr="00BB1D00" w:rsidRDefault="00BB1D00" w:rsidP="00BB1D00">
      <w:pPr>
        <w:numPr>
          <w:ilvl w:val="0"/>
          <w:numId w:val="1"/>
        </w:numPr>
      </w:pPr>
      <w:r w:rsidRPr="00BB1D00">
        <w:rPr>
          <w:b/>
          <w:bCs/>
        </w:rPr>
        <w:t>Fig. 13. PR curves (IF/OCSVM/RF)</w:t>
      </w:r>
      <w:r w:rsidRPr="00BB1D00">
        <w:t xml:space="preserve"> — Core model comparison visualization.</w:t>
      </w:r>
    </w:p>
    <w:p w14:paraId="44BAE362" w14:textId="77777777" w:rsidR="00BB1D00" w:rsidRPr="00BB1D00" w:rsidRDefault="00BB1D00" w:rsidP="00BB1D00">
      <w:pPr>
        <w:numPr>
          <w:ilvl w:val="0"/>
          <w:numId w:val="1"/>
        </w:numPr>
      </w:pPr>
      <w:r w:rsidRPr="00BB1D00">
        <w:rPr>
          <w:b/>
          <w:bCs/>
        </w:rPr>
        <w:t>Fig. 15. RF Feature Importances</w:t>
      </w:r>
      <w:r w:rsidRPr="00BB1D00">
        <w:t xml:space="preserve"> — Shows interpretability and key drivers.</w:t>
      </w:r>
    </w:p>
    <w:p w14:paraId="50B205C3" w14:textId="77777777" w:rsidR="00BB1D00" w:rsidRPr="00BB1D00" w:rsidRDefault="00BB1D00" w:rsidP="00BB1D00">
      <w:pPr>
        <w:numPr>
          <w:ilvl w:val="0"/>
          <w:numId w:val="1"/>
        </w:numPr>
      </w:pPr>
      <w:r w:rsidRPr="00BB1D00">
        <w:rPr>
          <w:b/>
          <w:bCs/>
        </w:rPr>
        <w:t>Fig. 16. SHAP Bar Plot</w:t>
      </w:r>
      <w:r w:rsidRPr="00BB1D00">
        <w:t xml:space="preserve"> — Enhances explainability analysis.</w:t>
      </w:r>
    </w:p>
    <w:p w14:paraId="5893D78A" w14:textId="77777777" w:rsidR="00BB1D00" w:rsidRPr="00BB1D00" w:rsidRDefault="00BB1D00" w:rsidP="00BB1D00">
      <w:pPr>
        <w:numPr>
          <w:ilvl w:val="0"/>
          <w:numId w:val="1"/>
        </w:numPr>
      </w:pPr>
      <w:r w:rsidRPr="00BB1D00">
        <w:rPr>
          <w:b/>
          <w:bCs/>
        </w:rPr>
        <w:t>Fig. 18. Threshold sweep: IF</w:t>
      </w:r>
      <w:r w:rsidRPr="00BB1D00">
        <w:t xml:space="preserve"> — Demonstrates parameter sensitivity.</w:t>
      </w:r>
    </w:p>
    <w:p w14:paraId="3AC0B0D6" w14:textId="77777777" w:rsidR="00BB1D00" w:rsidRPr="00BB1D00" w:rsidRDefault="00BB1D00" w:rsidP="00BB1D00">
      <w:pPr>
        <w:numPr>
          <w:ilvl w:val="0"/>
          <w:numId w:val="1"/>
        </w:numPr>
      </w:pPr>
      <w:r w:rsidRPr="00BB1D00">
        <w:rPr>
          <w:b/>
          <w:bCs/>
        </w:rPr>
        <w:t>Table I. summary_metrics.csv</w:t>
      </w:r>
      <w:r w:rsidRPr="00BB1D00">
        <w:t xml:space="preserve"> — Consolidated metrics summary.</w:t>
      </w:r>
    </w:p>
    <w:p w14:paraId="0D4CC435" w14:textId="77777777" w:rsidR="00BB1D00" w:rsidRPr="00BB1D00" w:rsidRDefault="00BB1D00" w:rsidP="00BB1D00">
      <w:r w:rsidRPr="00BB1D00">
        <w:rPr>
          <w:b/>
          <w:bCs/>
        </w:rPr>
        <w:t>Why these are essential:</w:t>
      </w:r>
      <w:r w:rsidRPr="00BB1D00">
        <w:br/>
        <w:t xml:space="preserve">They establish a full logical chain — from </w:t>
      </w:r>
      <w:r w:rsidRPr="00BB1D00">
        <w:rPr>
          <w:b/>
          <w:bCs/>
        </w:rPr>
        <w:t>data pattern → model performance → interpretability → optimization</w:t>
      </w:r>
      <w:r w:rsidRPr="00BB1D00">
        <w:t xml:space="preserve"> — while fitting in 2–3 pages (ideal for ACM/IEEE proceedings).</w:t>
      </w:r>
    </w:p>
    <w:p w14:paraId="5CA3E7F9" w14:textId="77777777" w:rsidR="00BB1D00" w:rsidRPr="00BB1D00" w:rsidRDefault="00BB1D00" w:rsidP="00BB1D00">
      <w:pPr>
        <w:rPr>
          <w:b/>
          <w:bCs/>
        </w:rPr>
      </w:pPr>
      <w:r w:rsidRPr="00BB1D00">
        <w:rPr>
          <w:b/>
          <w:bCs/>
        </w:rPr>
        <w:t xml:space="preserve">Part III. Supplementary Figures and Tables </w:t>
      </w:r>
      <w:r w:rsidRPr="00BB1D00">
        <w:rPr>
          <w:b/>
          <w:bCs/>
        </w:rPr>
        <w:t>附录与补充图表</w:t>
      </w:r>
    </w:p>
    <w:p w14:paraId="17072E40" w14:textId="77777777" w:rsidR="00BB1D00" w:rsidRPr="00BB1D00" w:rsidRDefault="00BB1D00" w:rsidP="00BB1D00">
      <w:r w:rsidRPr="00BB1D00">
        <w:t>These figures/tables support secondary findings and can be included in the appendix or online repository.</w:t>
      </w:r>
    </w:p>
    <w:p w14:paraId="09860B38" w14:textId="77777777" w:rsidR="00BB1D00" w:rsidRPr="00BB1D00" w:rsidRDefault="00BB1D00" w:rsidP="00BB1D00">
      <w:pPr>
        <w:numPr>
          <w:ilvl w:val="0"/>
          <w:numId w:val="2"/>
        </w:numPr>
      </w:pPr>
      <w:r w:rsidRPr="00BB1D00">
        <w:rPr>
          <w:b/>
          <w:bCs/>
        </w:rPr>
        <w:t>Fig. 2. Alerts/hour</w:t>
      </w:r>
      <w:r w:rsidRPr="00BB1D00">
        <w:t xml:space="preserve"> — Temporal density visualization.</w:t>
      </w:r>
    </w:p>
    <w:p w14:paraId="76691F22" w14:textId="77777777" w:rsidR="00BB1D00" w:rsidRPr="00BB1D00" w:rsidRDefault="00BB1D00" w:rsidP="00BB1D00">
      <w:pPr>
        <w:numPr>
          <w:ilvl w:val="0"/>
          <w:numId w:val="2"/>
        </w:numPr>
      </w:pPr>
      <w:r w:rsidRPr="00BB1D00">
        <w:rPr>
          <w:b/>
          <w:bCs/>
        </w:rPr>
        <w:lastRenderedPageBreak/>
        <w:t>Fig. 3. Boxplot by category</w:t>
      </w:r>
      <w:r w:rsidRPr="00BB1D00">
        <w:t xml:space="preserve"> — Cross-agency delay distribution.</w:t>
      </w:r>
    </w:p>
    <w:p w14:paraId="39DC599B" w14:textId="77777777" w:rsidR="00BB1D00" w:rsidRPr="00BB1D00" w:rsidRDefault="00BB1D00" w:rsidP="00BB1D00">
      <w:pPr>
        <w:numPr>
          <w:ilvl w:val="0"/>
          <w:numId w:val="2"/>
        </w:numPr>
      </w:pPr>
      <w:r w:rsidRPr="00BB1D00">
        <w:rPr>
          <w:b/>
          <w:bCs/>
        </w:rPr>
        <w:t>Fig. 4. Category pie</w:t>
      </w:r>
      <w:r w:rsidRPr="00BB1D00">
        <w:t xml:space="preserve"> — Class imbalance evidence.</w:t>
      </w:r>
    </w:p>
    <w:p w14:paraId="55666BB2" w14:textId="77777777" w:rsidR="00BB1D00" w:rsidRPr="00BB1D00" w:rsidRDefault="00BB1D00" w:rsidP="00BB1D00">
      <w:pPr>
        <w:numPr>
          <w:ilvl w:val="0"/>
          <w:numId w:val="2"/>
        </w:numPr>
      </w:pPr>
      <w:r w:rsidRPr="00BB1D00">
        <w:rPr>
          <w:b/>
          <w:bCs/>
        </w:rPr>
        <w:t>Fig. 5. Confusion Matrix - IF</w:t>
      </w:r>
      <w:r w:rsidRPr="00BB1D00">
        <w:t xml:space="preserve"> — Diagnostic analysis.</w:t>
      </w:r>
    </w:p>
    <w:p w14:paraId="553E6414" w14:textId="77777777" w:rsidR="00BB1D00" w:rsidRPr="00BB1D00" w:rsidRDefault="00BB1D00" w:rsidP="00BB1D00">
      <w:pPr>
        <w:numPr>
          <w:ilvl w:val="0"/>
          <w:numId w:val="2"/>
        </w:numPr>
      </w:pPr>
      <w:r w:rsidRPr="00BB1D00">
        <w:rPr>
          <w:b/>
          <w:bCs/>
        </w:rPr>
        <w:t>Fig. 7. Histogram of response time</w:t>
      </w:r>
      <w:r w:rsidRPr="00BB1D00">
        <w:t xml:space="preserve"> — Complementary distribution view.</w:t>
      </w:r>
    </w:p>
    <w:p w14:paraId="559239FE" w14:textId="77777777" w:rsidR="00BB1D00" w:rsidRPr="00BB1D00" w:rsidRDefault="00BB1D00" w:rsidP="00BB1D00">
      <w:pPr>
        <w:numPr>
          <w:ilvl w:val="0"/>
          <w:numId w:val="2"/>
        </w:numPr>
      </w:pPr>
      <w:r w:rsidRPr="00BB1D00">
        <w:rPr>
          <w:b/>
          <w:bCs/>
        </w:rPr>
        <w:t>Fig. 8. KDE of response time</w:t>
      </w:r>
      <w:r w:rsidRPr="00BB1D00">
        <w:t xml:space="preserve"> — Smoothed statistical representation.</w:t>
      </w:r>
    </w:p>
    <w:p w14:paraId="65C7A03C" w14:textId="77777777" w:rsidR="00BB1D00" w:rsidRPr="00BB1D00" w:rsidRDefault="00BB1D00" w:rsidP="00BB1D00">
      <w:pPr>
        <w:numPr>
          <w:ilvl w:val="0"/>
          <w:numId w:val="2"/>
        </w:numPr>
      </w:pPr>
      <w:r w:rsidRPr="00BB1D00">
        <w:rPr>
          <w:b/>
          <w:bCs/>
        </w:rPr>
        <w:t>Fig. 10–12. Trade-off curves (IF, OCSVM, RF)</w:t>
      </w:r>
      <w:r w:rsidRPr="00BB1D00">
        <w:t xml:space="preserve"> — Threshold sensitivity exploration.</w:t>
      </w:r>
    </w:p>
    <w:p w14:paraId="365B0B45" w14:textId="77777777" w:rsidR="00BB1D00" w:rsidRPr="00BB1D00" w:rsidRDefault="00BB1D00" w:rsidP="00BB1D00">
      <w:pPr>
        <w:numPr>
          <w:ilvl w:val="0"/>
          <w:numId w:val="2"/>
        </w:numPr>
      </w:pPr>
      <w:r w:rsidRPr="00BB1D00">
        <w:rPr>
          <w:b/>
          <w:bCs/>
        </w:rPr>
        <w:t>Fig. 14. PR curves with AE</w:t>
      </w:r>
      <w:r w:rsidRPr="00BB1D00">
        <w:t xml:space="preserve"> — Unsupervised extension results.</w:t>
      </w:r>
    </w:p>
    <w:p w14:paraId="5DCC1800" w14:textId="77777777" w:rsidR="00BB1D00" w:rsidRPr="00BB1D00" w:rsidRDefault="00BB1D00" w:rsidP="00BB1D00">
      <w:pPr>
        <w:numPr>
          <w:ilvl w:val="0"/>
          <w:numId w:val="2"/>
        </w:numPr>
      </w:pPr>
      <w:r w:rsidRPr="00BB1D00">
        <w:rPr>
          <w:b/>
          <w:bCs/>
        </w:rPr>
        <w:t>Fig. 17. SHAP Summary Plot</w:t>
      </w:r>
      <w:r w:rsidRPr="00BB1D00">
        <w:t xml:space="preserve"> — Advanced interpretability illustration.</w:t>
      </w:r>
    </w:p>
    <w:p w14:paraId="79C1B234" w14:textId="77777777" w:rsidR="00BB1D00" w:rsidRPr="00BB1D00" w:rsidRDefault="00BB1D00" w:rsidP="00BB1D00">
      <w:pPr>
        <w:numPr>
          <w:ilvl w:val="0"/>
          <w:numId w:val="2"/>
        </w:numPr>
      </w:pPr>
      <w:r w:rsidRPr="00BB1D00">
        <w:rPr>
          <w:b/>
          <w:bCs/>
        </w:rPr>
        <w:t>Table II. real_calls_clean.csv</w:t>
      </w:r>
      <w:r w:rsidRPr="00BB1D00">
        <w:t xml:space="preserve"> — Cleaned dataset subset for reproducibility.</w:t>
      </w:r>
    </w:p>
    <w:p w14:paraId="16DE7EE9" w14:textId="77777777" w:rsidR="00BB1D00" w:rsidRPr="00BB1D00" w:rsidRDefault="00BB1D00" w:rsidP="00BB1D00">
      <w:r w:rsidRPr="00BB1D00">
        <w:rPr>
          <w:b/>
          <w:bCs/>
        </w:rPr>
        <w:t>Note:</w:t>
      </w:r>
      <w:r w:rsidRPr="00BB1D00">
        <w:br/>
        <w:t xml:space="preserve">These materials can be moved to Appendix A–C or to an external repository (e.g., GitHub / </w:t>
      </w:r>
      <w:proofErr w:type="spellStart"/>
      <w:r w:rsidRPr="00BB1D00">
        <w:t>Zenodo</w:t>
      </w:r>
      <w:proofErr w:type="spellEnd"/>
      <w:r w:rsidRPr="00BB1D00">
        <w:t>) for transparency and reproducibility.</w:t>
      </w:r>
    </w:p>
    <w:p w14:paraId="3882BA1E" w14:textId="77777777" w:rsidR="00A349F4" w:rsidRDefault="00A349F4"/>
    <w:sectPr w:rsidR="00A349F4" w:rsidSect="00CD2B14">
      <w:type w:val="continuous"/>
      <w:pgSz w:w="12240" w:h="1584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026E"/>
    <w:multiLevelType w:val="multilevel"/>
    <w:tmpl w:val="A6B0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FD7159"/>
    <w:multiLevelType w:val="multilevel"/>
    <w:tmpl w:val="73BC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231756">
    <w:abstractNumId w:val="0"/>
  </w:num>
  <w:num w:numId="2" w16cid:durableId="255555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00"/>
    <w:rsid w:val="00343D07"/>
    <w:rsid w:val="009E6A68"/>
    <w:rsid w:val="00A349F4"/>
    <w:rsid w:val="00BB1D00"/>
    <w:rsid w:val="00CD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470B"/>
  <w15:chartTrackingRefBased/>
  <w15:docId w15:val="{2B074B57-DD2B-4AD8-8D7D-5E03A87F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995</Words>
  <Characters>3743</Characters>
  <Application>Microsoft Office Word</Application>
  <DocSecurity>0</DocSecurity>
  <Lines>233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Maxine Liu</dc:creator>
  <cp:keywords/>
  <dc:description/>
  <cp:lastModifiedBy>Maxine Liu</cp:lastModifiedBy>
  <cp:revision>1</cp:revision>
  <dcterms:created xsi:type="dcterms:W3CDTF">2025-10-28T04:12:00Z</dcterms:created>
  <dcterms:modified xsi:type="dcterms:W3CDTF">2025-10-28T04:48:00Z</dcterms:modified>
</cp:coreProperties>
</file>