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AutoOptions — One-Page Hackathon Brief</w:t>
      </w:r>
    </w:p>
    <w:p>
      <w:pPr>
        <w:pBdr>
          <w:bottom w:val="single" w:color="C9A227" w:sz="12" w:space="4"/>
        </w:pBdr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Team: </w:t>
      </w:r>
      <w:r>
        <w:rPr>
          <w:rFonts w:ascii="Arial" w:cs="Arial" w:eastAsia="Arial" w:hAnsi="Arial"/>
          <w:sz w:val="18"/>
          <w:szCs w:val="18"/>
        </w:rPr>
        <w:t xml:space="preserve">Render Guard (Maxine + Shinu)   · 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Track: </w:t>
      </w:r>
      <w:r>
        <w:rPr>
          <w:rFonts w:ascii="Arial" w:cs="Arial" w:eastAsia="Arial" w:hAnsi="Arial"/>
          <w:sz w:val="18"/>
          <w:szCs w:val="18"/>
        </w:rPr>
        <w:t xml:space="preserve">Best Improved Agent and Skill</w:t>
      </w:r>
    </w:p>
    <w:p>
      <w:pPr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Repo: </w:t>
      </w:r>
      <w:r>
        <w:rPr>
          <w:rFonts w:ascii="Consolas" w:cs="Consolas" w:eastAsia="Consolas" w:hAnsi="Consolas"/>
          <w:sz w:val="16"/>
          <w:szCs w:val="16"/>
        </w:rPr>
        <w:t xml:space="preserve">maxineyu521/AutoOptions-Financial-Agentic-RAG-Platform</w:t>
      </w:r>
      <w:r>
        <w:rPr>
          <w:rFonts w:ascii="Arial" w:cs="Arial" w:eastAsia="Arial" w:hAnsi="Arial"/>
          <w:sz w:val="18"/>
          <w:szCs w:val="18"/>
        </w:rPr>
        <w:t xml:space="preserve">  ·  branch </w:t>
      </w:r>
      <w:r>
        <w:rPr>
          <w:rFonts w:ascii="Consolas" w:cs="Consolas" w:eastAsia="Consolas" w:hAnsi="Consolas"/>
          <w:sz w:val="16"/>
          <w:szCs w:val="16"/>
        </w:rPr>
        <w:t xml:space="preserve">improvement-in-event</w:t>
      </w:r>
      <w:r>
        <w:rPr>
          <w:rFonts w:ascii="Arial" w:cs="Arial" w:eastAsia="Arial" w:hAnsi="Arial"/>
          <w:sz w:val="18"/>
          <w:szCs w:val="18"/>
        </w:rPr>
        <w:t xml:space="preserve">   · 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Baseline: </w:t>
      </w:r>
      <w:r>
        <w:rPr>
          <w:rFonts w:ascii="Arial" w:cs="Arial" w:eastAsia="Arial" w:hAnsi="Arial"/>
          <w:sz w:val="18"/>
          <w:szCs w:val="18"/>
        </w:rPr>
        <w:t xml:space="preserve">tagged baseline-pre-event @ 76fb0a9 (pushed)</w:t>
      </w:r>
    </w:p>
    <w:p>
      <w:pPr>
        <w:pStyle w:val="Heading2"/>
        <w:spacing w:after="5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What we're improving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AutoOptions is a contract-governed multi-agent financial RAG platform (LangGraph: Router → Analyst → Checker → Critic → Finalizer). We ship one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measured</w:t>
      </w:r>
      <w:r>
        <w:rPr>
          <w:rFonts w:ascii="Arial" w:cs="Arial" w:eastAsia="Arial" w:hAnsi="Arial"/>
          <w:sz w:val="18"/>
          <w:szCs w:val="18"/>
        </w:rPr>
        <w:t xml:space="preserve"> improvement to its own eval pass-rate, package it as a spec-conforming skill, and prove the delta before/after. Only in-event work (post-tag commits) is scored.</w:t>
      </w:r>
    </w:p>
    <w:p>
      <w:pPr>
        <w:pStyle w:val="Heading2"/>
        <w:spacing w:after="5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The fix (headline)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Render-safe Finalizer schema enforcing structure_visibility_mode</w:t>
      </w:r>
      <w:r>
        <w:rPr>
          <w:rFonts w:ascii="Arial" w:cs="Arial" w:eastAsia="Arial" w:hAnsi="Arial"/>
          <w:sz w:val="18"/>
          <w:szCs w:val="18"/>
        </w:rPr>
        <w:t xml:space="preserve"> — closes a gap the team's own docs/Improvement/...Phase2.md documents (Item 4 / Workstream C). The Finalizer currently leaks in both directions: it drops legally-allowed illustrative structure and can promote structure when the mode forbids it. The fix is a typed, deterministic enforcement point in </w:t>
      </w:r>
      <w:r>
        <w:rPr>
          <w:rFonts w:ascii="Consolas" w:cs="Consolas" w:eastAsia="Consolas" w:hAnsi="Consolas"/>
          <w:sz w:val="16"/>
          <w:szCs w:val="16"/>
        </w:rPr>
        <w:t xml:space="preserve">Scripts/agents/finalizer.py</w:t>
      </w:r>
      <w:r>
        <w:rPr>
          <w:rFonts w:ascii="Arial" w:cs="Arial" w:eastAsia="Arial" w:hAnsi="Arial"/>
          <w:sz w:val="18"/>
          <w:szCs w:val="18"/>
        </w:rPr>
        <w:t xml:space="preserve"> that gates rendering on the Critic's structure_visibility_mode — drop trade structures when no_structure, preserve-and-label as non-live when illustrative_structure, source Risks from true_risk_text. Deterministic = reproducible on stage, no LLM-judge noise.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sz w:val="18"/>
          <w:szCs w:val="18"/>
        </w:rPr>
        <w:t xml:space="preserve">Backup if the metric doesn't move: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diagnose the actual failing cases (material_failure_case_rate, compliance_failure_case_rate) in production_results_full.jsonl, fix the behavior, show rate → 0.</w:t>
      </w:r>
    </w:p>
    <w:p>
      <w:pPr>
        <w:pStyle w:val="Heading2"/>
        <w:spacing w:after="5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How we measure (the win condition)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Run Scripts/evaluation/run_agentic_benchmark.py on the same case set, before and after. Target metric: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illustrative_structure_allowed_pass_rate</w:t>
      </w:r>
      <w:r>
        <w:rPr>
          <w:rFonts w:ascii="Arial" w:cs="Arial" w:eastAsia="Arial" w:hAnsi="Arial"/>
          <w:sz w:val="18"/>
          <w:szCs w:val="18"/>
        </w:rPr>
        <w:t xml:space="preserve"> (deterministic gate). Baseline numbers come from the fresh re-run on main — not stale cached figures. Report before/after on an identical case set.</w:t>
      </w:r>
    </w:p>
    <w:p>
      <w:pPr>
        <w:pStyle w:val="Heading2"/>
        <w:spacing w:after="5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Results (measured) — same 20-case set, before vs. after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Identical n=20 paired production case set. “Before” = baseline-pre-event re-run; “After” = Render-Guard Finalizer. The headline win is the collapse of the two failure-case rates; the illustrative-structure gate also moved in the right direction.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200"/>
        <w:gridCol w:w="1720"/>
        <w:gridCol w:w="1720"/>
        <w:gridCol w:w="1720"/>
      </w:tblGrid>
      <w:tr>
        <w:tc>
          <w:tcPr>
            <w:tcW w:w="4200" w:type="dxa"/>
            <w:shd w:val="clear" w:color="auto" w:fill="D5E8F0"/>
          </w:tcPr>
          <w:p>
            <w:r>
              <w:rPr>
                <w:rFonts w:ascii="Arial" w:cs="Arial" w:eastAsia="Arial" w:hAnsi="Arial"/>
                <w:b/>
                <w:sz w:val="18"/>
                <w:szCs w:val="18"/>
              </w:rPr>
              <w:t xml:space="preserve">Metric</w:t>
            </w:r>
          </w:p>
        </w:tc>
        <w:tc>
          <w:tcPr>
            <w:tcW w:w="1720" w:type="dxa"/>
            <w:shd w:val="clear" w:color="auto" w:fill="D5E8F0"/>
          </w:tcPr>
          <w:p>
            <w:r>
              <w:rPr>
                <w:rFonts w:ascii="Arial" w:cs="Arial" w:eastAsia="Arial" w:hAnsi="Arial"/>
                <w:b/>
                <w:sz w:val="18"/>
                <w:szCs w:val="18"/>
              </w:rPr>
              <w:t xml:space="preserve">Before</w:t>
            </w:r>
          </w:p>
        </w:tc>
        <w:tc>
          <w:tcPr>
            <w:tcW w:w="1720" w:type="dxa"/>
            <w:shd w:val="clear" w:color="auto" w:fill="D5E8F0"/>
          </w:tcPr>
          <w:p>
            <w:r>
              <w:rPr>
                <w:rFonts w:ascii="Arial" w:cs="Arial" w:eastAsia="Arial" w:hAnsi="Arial"/>
                <w:b/>
                <w:sz w:val="18"/>
                <w:szCs w:val="18"/>
              </w:rPr>
              <w:t xml:space="preserve">After</w:t>
            </w:r>
          </w:p>
        </w:tc>
        <w:tc>
          <w:tcPr>
            <w:tcW w:w="1720" w:type="dxa"/>
            <w:shd w:val="clear" w:color="auto" w:fill="D5E8F0"/>
          </w:tcPr>
          <w:p>
            <w:r>
              <w:rPr>
                <w:rFonts w:ascii="Arial" w:cs="Arial" w:eastAsia="Arial" w:hAnsi="Arial"/>
                <w:b/>
                <w:sz w:val="18"/>
                <w:szCs w:val="18"/>
              </w:rPr>
              <w:t xml:space="preserve">Delta</w:t>
            </w:r>
          </w:p>
        </w:tc>
      </w:tr>
      <w:tr>
        <w:tc>
          <w:tcPr>
            <w:tcW w:w="4200" w:type="dxa"/>
          </w:tcPr>
          <w:p>
            <w:r>
              <w:rPr>
                <w:rFonts w:ascii="Arial" w:cs="Arial" w:eastAsia="Arial" w:hAnsi="Arial"/>
                <w:b/>
                <w:sz w:val="18"/>
                <w:szCs w:val="18"/>
              </w:rPr>
              <w:t xml:space="preserve">material_failure_case_rate</w:t>
            </w:r>
          </w:p>
        </w:tc>
        <w:tc>
          <w:tcPr>
            <w:tcW w:w="1720" w:type="dxa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0.850</w:t>
            </w:r>
          </w:p>
        </w:tc>
        <w:tc>
          <w:tcPr>
            <w:tcW w:w="1720" w:type="dxa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0.200</w:t>
            </w:r>
          </w:p>
        </w:tc>
        <w:tc>
          <w:tcPr>
            <w:tcW w:w="1720" w:type="dxa"/>
          </w:tcPr>
          <w:p>
            <w:r>
              <w:rPr>
                <w:rFonts w:ascii="Arial" w:cs="Arial" w:eastAsia="Arial" w:hAnsi="Arial"/>
                <w:b/>
                <w:color w:val="1B7A3D"/>
                <w:sz w:val="18"/>
                <w:szCs w:val="18"/>
              </w:rPr>
              <w:t xml:space="preserve">−0.650</w:t>
            </w:r>
          </w:p>
        </w:tc>
      </w:tr>
      <w:tr>
        <w:tc>
          <w:tcPr>
            <w:tcW w:w="4200" w:type="dxa"/>
          </w:tcPr>
          <w:p>
            <w:r>
              <w:rPr>
                <w:rFonts w:ascii="Arial" w:cs="Arial" w:eastAsia="Arial" w:hAnsi="Arial"/>
                <w:b/>
                <w:sz w:val="18"/>
                <w:szCs w:val="18"/>
              </w:rPr>
              <w:t xml:space="preserve">compliance_failure_case_rate</w:t>
            </w:r>
          </w:p>
        </w:tc>
        <w:tc>
          <w:tcPr>
            <w:tcW w:w="1720" w:type="dxa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0.450</w:t>
            </w:r>
          </w:p>
        </w:tc>
        <w:tc>
          <w:tcPr>
            <w:tcW w:w="1720" w:type="dxa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0.050</w:t>
            </w:r>
          </w:p>
        </w:tc>
        <w:tc>
          <w:tcPr>
            <w:tcW w:w="1720" w:type="dxa"/>
          </w:tcPr>
          <w:p>
            <w:r>
              <w:rPr>
                <w:rFonts w:ascii="Arial" w:cs="Arial" w:eastAsia="Arial" w:hAnsi="Arial"/>
                <w:b/>
                <w:color w:val="1B7A3D"/>
                <w:sz w:val="18"/>
                <w:szCs w:val="18"/>
              </w:rPr>
              <w:t xml:space="preserve">−0.400</w:t>
            </w:r>
          </w:p>
        </w:tc>
      </w:tr>
      <w:tr>
        <w:tc>
          <w:tcPr>
            <w:tcW w:w="4200" w:type="dxa"/>
          </w:tcPr>
          <w:p>
            <w:r>
              <w:rPr>
                <w:rFonts w:ascii="Arial" w:cs="Arial" w:eastAsia="Arial" w:hAnsi="Arial"/>
                <w:b/>
                <w:sz w:val="18"/>
                <w:szCs w:val="18"/>
              </w:rPr>
              <w:t xml:space="preserve">finalizer_illustrative_structure_rate</w:t>
            </w:r>
          </w:p>
        </w:tc>
        <w:tc>
          <w:tcPr>
            <w:tcW w:w="1720" w:type="dxa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0.200</w:t>
            </w:r>
          </w:p>
        </w:tc>
        <w:tc>
          <w:tcPr>
            <w:tcW w:w="1720" w:type="dxa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0.429</w:t>
            </w:r>
          </w:p>
        </w:tc>
        <w:tc>
          <w:tcPr>
            <w:tcW w:w="1720" w:type="dxa"/>
          </w:tcPr>
          <w:p>
            <w:r>
              <w:rPr>
                <w:rFonts w:ascii="Arial" w:cs="Arial" w:eastAsia="Arial" w:hAnsi="Arial"/>
                <w:b/>
                <w:color w:val="1B7A3D"/>
                <w:sz w:val="18"/>
                <w:szCs w:val="18"/>
              </w:rPr>
              <w:t xml:space="preserve">+0.229</w:t>
            </w:r>
          </w:p>
        </w:tc>
      </w:tr>
      <w:tr>
        <w:tc>
          <w:tcPr>
            <w:tcW w:w="4200" w:type="dxa"/>
          </w:tcPr>
          <w:p>
            <w:r>
              <w:rPr>
                <w:rFonts w:ascii="Arial" w:cs="Arial" w:eastAsia="Arial" w:hAnsi="Arial"/>
                <w:b/>
                <w:sz w:val="18"/>
                <w:szCs w:val="18"/>
              </w:rPr>
              <w:t xml:space="preserve">critic_risk_disclosure_success_rate</w:t>
            </w:r>
          </w:p>
        </w:tc>
        <w:tc>
          <w:tcPr>
            <w:tcW w:w="1720" w:type="dxa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0.692</w:t>
            </w:r>
          </w:p>
        </w:tc>
        <w:tc>
          <w:tcPr>
            <w:tcW w:w="1720" w:type="dxa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1.000</w:t>
            </w:r>
          </w:p>
        </w:tc>
        <w:tc>
          <w:tcPr>
            <w:tcW w:w="1720" w:type="dxa"/>
          </w:tcPr>
          <w:p>
            <w:r>
              <w:rPr>
                <w:rFonts w:ascii="Arial" w:cs="Arial" w:eastAsia="Arial" w:hAnsi="Arial"/>
                <w:b/>
                <w:color w:val="1B7A3D"/>
                <w:sz w:val="18"/>
                <w:szCs w:val="18"/>
              </w:rPr>
              <w:t xml:space="preserve">+0.308</w:t>
            </w:r>
          </w:p>
        </w:tc>
      </w:tr>
      <w:tr>
        <w:tc>
          <w:tcPr>
            <w:tcW w:w="4200" w:type="dxa"/>
          </w:tcPr>
          <w:p>
            <w:r>
              <w:rPr>
                <w:rFonts w:ascii="Arial" w:cs="Arial" w:eastAsia="Arial" w:hAnsi="Arial"/>
                <w:b/>
                <w:sz w:val="18"/>
                <w:szCs w:val="18"/>
              </w:rPr>
              <w:t xml:space="preserve">finalizer_truth_integrity_rate</w:t>
            </w:r>
          </w:p>
        </w:tc>
        <w:tc>
          <w:tcPr>
            <w:tcW w:w="1720" w:type="dxa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0.717</w:t>
            </w:r>
          </w:p>
        </w:tc>
        <w:tc>
          <w:tcPr>
            <w:tcW w:w="1720" w:type="dxa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0.933</w:t>
            </w:r>
          </w:p>
        </w:tc>
        <w:tc>
          <w:tcPr>
            <w:tcW w:w="1720" w:type="dxa"/>
          </w:tcPr>
          <w:p>
            <w:r>
              <w:rPr>
                <w:rFonts w:ascii="Arial" w:cs="Arial" w:eastAsia="Arial" w:hAnsi="Arial"/>
                <w:b/>
                <w:color w:val="1B7A3D"/>
                <w:sz w:val="18"/>
                <w:szCs w:val="18"/>
              </w:rPr>
              <w:t xml:space="preserve">+0.216</w:t>
            </w:r>
          </w:p>
        </w:tc>
      </w:tr>
      <w:tr>
        <w:tc>
          <w:tcPr>
            <w:tcW w:w="4200" w:type="dxa"/>
          </w:tcPr>
          <w:p>
            <w:r>
              <w:rPr>
                <w:rFonts w:ascii="Arial" w:cs="Arial" w:eastAsia="Arial" w:hAnsi="Arial"/>
                <w:b/>
                <w:sz w:val="18"/>
                <w:szCs w:val="18"/>
              </w:rPr>
              <w:t xml:space="preserve">degraded_case_rate</w:t>
            </w:r>
          </w:p>
        </w:tc>
        <w:tc>
          <w:tcPr>
            <w:tcW w:w="1720" w:type="dxa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0.150</w:t>
            </w:r>
          </w:p>
        </w:tc>
        <w:tc>
          <w:tcPr>
            <w:tcW w:w="1720" w:type="dxa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</w:t>
            </w:r>
          </w:p>
        </w:tc>
        <w:tc>
          <w:tcPr>
            <w:tcW w:w="1720" w:type="dxa"/>
          </w:tcPr>
          <w:p>
            <w:r>
              <w:rPr>
                <w:rFonts w:ascii="Arial" w:cs="Arial" w:eastAsia="Arial" w:hAnsi="Arial"/>
                <w:b/>
                <w:color w:val="1B7A3D"/>
                <w:sz w:val="18"/>
                <w:szCs w:val="18"/>
              </w:rPr>
              <w:t xml:space="preserve">−0.150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i/>
          <w:sz w:val="16"/>
          <w:szCs w:val="16"/>
        </w:rPr>
        <w:t xml:space="preserve">Note: the brief’s named target was illustrative_structure_allowed_pass_rate; the benchmark reports this as finalizer_illustrative_structure_rate (0.200 → 0.429). The headline delta is the failure-case collapse. Checker fix-adoption rose 0.275 → 0.650 and circuit-breaks fell 3 → 0 on the same set.</w:t>
      </w:r>
    </w:p>
    <w:p>
      <w:pPr>
        <w:pStyle w:val="Heading2"/>
        <w:spacing w:after="5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Rubric coverage (80 pts)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Shippability (25): </w:t>
      </w:r>
      <w:r>
        <w:rPr>
          <w:rFonts w:ascii="Arial" w:cs="Arial" w:eastAsia="Arial" w:hAnsi="Arial"/>
          <w:sz w:val="18"/>
          <w:szCs w:val="18"/>
        </w:rPr>
        <w:t xml:space="preserve">SKILL.md (“Finalizer Render Guard”) + frontmatter, README delta, license, it runs.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ADLC (20): </w:t>
      </w:r>
      <w:r>
        <w:rPr>
          <w:rFonts w:ascii="Arial" w:cs="Arial" w:eastAsia="Arial" w:hAnsi="Arial"/>
          <w:sz w:val="18"/>
          <w:szCs w:val="18"/>
        </w:rPr>
        <w:t xml:space="preserve">completed worksheet + one evaluate→observe loop (eval → fix → re-eval), plus a drift-guard regression test as the observe artifact.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Lane Merit (20): </w:t>
      </w:r>
      <w:r>
        <w:rPr>
          <w:rFonts w:ascii="Arial" w:cs="Arial" w:eastAsia="Arial" w:hAnsi="Arial"/>
          <w:sz w:val="18"/>
          <w:szCs w:val="18"/>
        </w:rPr>
        <w:t xml:space="preserve">the measured pass-rate delta + before/after table.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Skill Quality (15): </w:t>
      </w:r>
      <w:r>
        <w:rPr>
          <w:rFonts w:ascii="Arial" w:cs="Arial" w:eastAsia="Arial" w:hAnsi="Arial"/>
          <w:sz w:val="18"/>
          <w:szCs w:val="18"/>
        </w:rPr>
        <w:t xml:space="preserve">grounded in the team's documented expertise, coherent unit, gotchas (the two-directional leak), output template (the render-safe schema).</w:t>
      </w:r>
    </w:p>
    <w:p>
      <w:pPr>
        <w:pStyle w:val="Heading2"/>
        <w:spacing w:after="5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Hard rules (don't get disqualified)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Tag exists pre-event ✓  ·  no feature removed/degraded  ·  in-event commits isolated on improvement-in-event  ·  quantitative before/after required.</w:t>
      </w:r>
    </w:p>
    <w:p>
      <w:pPr>
        <w:pStyle w:val="Heading2"/>
        <w:spacing w:after="5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2-person split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Shinu (fix): </w:t>
      </w:r>
      <w:r>
        <w:rPr>
          <w:rFonts w:ascii="Arial" w:cs="Arial" w:eastAsia="Arial" w:hAnsi="Arial"/>
          <w:sz w:val="18"/>
          <w:szCs w:val="18"/>
        </w:rPr>
        <w:t xml:space="preserve">Finalizer enforcement in finalizer.py + drift-guard regression test.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Maxine (proof + packaging): </w:t>
      </w:r>
      <w:r>
        <w:rPr>
          <w:rFonts w:ascii="Arial" w:cs="Arial" w:eastAsia="Arial" w:hAnsi="Arial"/>
          <w:sz w:val="18"/>
          <w:szCs w:val="18"/>
        </w:rPr>
        <w:t xml:space="preserve">eval re-run, metrics table, ADLC worksheet, SKILL.md, README delta, ~5 new illustrative-structure eval cases.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8"/>
          <w:szCs w:val="18"/>
        </w:rPr>
        <w:t xml:space="preserve">Converge at the re-run for the “after” column.</w:t>
      </w:r>
    </w:p>
    <w:p>
      <w:pPr>
        <w:pStyle w:val="Heading2"/>
        <w:spacing w:after="5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Definition of done (minimum to place)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One measured pass-rate improvement → before/after table on the same case set → completed worksheet → SKILL.md packaging the fix.</w:t>
      </w:r>
    </w:p>
    <w:p>
      <w:pPr>
        <w:pStyle w:val="Heading2"/>
        <w:spacing w:after="5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Two checkpoints the humans own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18"/>
          <w:szCs w:val="18"/>
        </w:rPr>
        <w:t xml:space="preserve">Approve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where</w:t>
      </w:r>
      <w:r>
        <w:rPr>
          <w:rFonts w:ascii="Arial" w:cs="Arial" w:eastAsia="Arial" w:hAnsi="Arial"/>
          <w:sz w:val="18"/>
          <w:szCs w:val="18"/>
        </w:rPr>
        <w:t xml:space="preserve"> the patch hooks in (read Critic→Finalizer threading) before code is written.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Run the eval yourself</w:t>
      </w:r>
      <w:r>
        <w:rPr>
          <w:rFonts w:ascii="Arial" w:cs="Arial" w:eastAsia="Arial" w:hAnsi="Arial"/>
          <w:sz w:val="18"/>
          <w:szCs w:val="18"/>
        </w:rPr>
        <w:t xml:space="preserve"> to confirm the number moved — don't trust the agent's claim.</w:t>
      </w:r>
    </w:p>
    <w:sectPr>
      <w:pgSz w:w="12240" w:h="15840" w:orient="portrait"/>
      <w:pgMar w:top="90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2026-06-27T17:44:18.431Z</dcterms:created>
  <dcterms:modified xsi:type="dcterms:W3CDTF">2026-06-27T17:44:18.431Z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