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${contractNum}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Терция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Овчинникова Анастасия Сергеевн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123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123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Терция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123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Овчинникова Анастасия Сергеевн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